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D8C0FB" w14:textId="0C4AF264" w:rsidR="005C54AF" w:rsidRDefault="009A5A48" w:rsidP="005C54AF">
      <w:pPr>
        <w:pStyle w:val="BodyText"/>
        <w:sectPr w:rsidR="005C54AF" w:rsidSect="00AB44A7">
          <w:headerReference w:type="default" r:id="rId12"/>
          <w:footerReference w:type="default" r:id="rId13"/>
          <w:pgSz w:w="11906" w:h="16838" w:code="9"/>
          <w:pgMar w:top="1120" w:right="720" w:bottom="500" w:left="720" w:header="454" w:footer="220" w:gutter="0"/>
          <w:pgNumType w:chapStyle="1"/>
          <w:cols w:space="708"/>
          <w:docGrid w:linePitch="360"/>
          <w15:footnoteColumns w:val="1"/>
        </w:sectPr>
      </w:pPr>
      <w:r>
        <w:rPr>
          <w:noProof/>
        </w:rPr>
        <w:drawing>
          <wp:anchor distT="0" distB="0" distL="114300" distR="114300" simplePos="0" relativeHeight="251658240" behindDoc="0" locked="0" layoutInCell="1" allowOverlap="0" wp14:anchorId="32418FEA" wp14:editId="0BDA74E1">
            <wp:simplePos x="0" y="0"/>
            <wp:positionH relativeFrom="page">
              <wp:posOffset>0</wp:posOffset>
            </wp:positionH>
            <wp:positionV relativeFrom="page">
              <wp:posOffset>0</wp:posOffset>
            </wp:positionV>
            <wp:extent cx="7551758" cy="10673998"/>
            <wp:effectExtent l="0" t="0" r="508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1758" cy="10673998"/>
                    </a:xfrm>
                    <a:prstGeom prst="rect">
                      <a:avLst/>
                    </a:prstGeom>
                  </pic:spPr>
                </pic:pic>
              </a:graphicData>
            </a:graphic>
            <wp14:sizeRelH relativeFrom="margin">
              <wp14:pctWidth>0</wp14:pctWidth>
            </wp14:sizeRelH>
            <wp14:sizeRelV relativeFrom="margin">
              <wp14:pctHeight>0</wp14:pctHeight>
            </wp14:sizeRelV>
          </wp:anchor>
        </w:drawing>
      </w:r>
    </w:p>
    <w:p w14:paraId="50AE2397" w14:textId="2AAE1C1A" w:rsidR="005B5FF2" w:rsidRDefault="005B5FF2" w:rsidP="009A5A48">
      <w:pPr>
        <w:pStyle w:val="TOC2"/>
        <w:spacing w:line="320" w:lineRule="exact"/>
        <w:rPr>
          <w:rFonts w:ascii="Calibri" w:hAnsi="Calibri"/>
          <w:szCs w:val="24"/>
        </w:rPr>
      </w:pPr>
      <w:r>
        <w:rPr>
          <w:rFonts w:ascii="Calibri" w:hAnsi="Calibri"/>
          <w:noProof/>
          <w:szCs w:val="24"/>
        </w:rPr>
        <w:lastRenderedPageBreak/>
        <w:drawing>
          <wp:anchor distT="0" distB="0" distL="114300" distR="114300" simplePos="0" relativeHeight="251659264" behindDoc="0" locked="0" layoutInCell="1" allowOverlap="1" wp14:anchorId="7478DDA5" wp14:editId="0240D1B6">
            <wp:simplePos x="0" y="0"/>
            <wp:positionH relativeFrom="page">
              <wp:posOffset>0</wp:posOffset>
            </wp:positionH>
            <wp:positionV relativeFrom="page">
              <wp:posOffset>0</wp:posOffset>
            </wp:positionV>
            <wp:extent cx="7533931" cy="10648799"/>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33931" cy="10648799"/>
                    </a:xfrm>
                    <a:prstGeom prst="rect">
                      <a:avLst/>
                    </a:prstGeom>
                  </pic:spPr>
                </pic:pic>
              </a:graphicData>
            </a:graphic>
            <wp14:sizeRelH relativeFrom="margin">
              <wp14:pctWidth>0</wp14:pctWidth>
            </wp14:sizeRelH>
            <wp14:sizeRelV relativeFrom="margin">
              <wp14:pctHeight>0</wp14:pctHeight>
            </wp14:sizeRelV>
          </wp:anchor>
        </w:drawing>
      </w:r>
    </w:p>
    <w:p w14:paraId="16280E11" w14:textId="77777777" w:rsidR="005B5FF2" w:rsidRPr="00B26D4F" w:rsidRDefault="005B5FF2" w:rsidP="005B5FF2">
      <w:pPr>
        <w:pStyle w:val="BasicParagraph"/>
        <w:snapToGrid w:val="0"/>
        <w:spacing w:after="160" w:line="312" w:lineRule="auto"/>
        <w:rPr>
          <w:rFonts w:ascii="Calibri" w:eastAsiaTheme="majorHAnsi" w:hAnsi="Calibri" w:cs="ProximaSoft-Thin"/>
          <w:b/>
          <w:bCs/>
          <w:color w:val="8331A7"/>
        </w:rPr>
      </w:pPr>
      <w:r w:rsidRPr="00B26D4F">
        <w:rPr>
          <w:rFonts w:ascii="Calibri" w:eastAsiaTheme="majorHAnsi" w:hAnsi="Calibri" w:cs="ProximaSoft-Thin"/>
          <w:b/>
          <w:bCs/>
          <w:color w:val="8331A7"/>
        </w:rPr>
        <w:lastRenderedPageBreak/>
        <w:t>About ACIL Allen</w:t>
      </w:r>
    </w:p>
    <w:p w14:paraId="19B0555B" w14:textId="77777777" w:rsidR="005B5FF2" w:rsidRPr="005B5FF2" w:rsidRDefault="005B5FF2" w:rsidP="005B5FF2">
      <w:pPr>
        <w:pStyle w:val="BasicParagraph"/>
        <w:snapToGrid w:val="0"/>
        <w:spacing w:after="160" w:line="312" w:lineRule="auto"/>
        <w:rPr>
          <w:rFonts w:ascii="Calibri" w:eastAsiaTheme="majorHAnsi" w:hAnsi="Calibri" w:cs="ProximaSoft-Thin"/>
          <w:color w:val="000000" w:themeColor="text1"/>
        </w:rPr>
      </w:pPr>
      <w:r w:rsidRPr="005B5FF2">
        <w:rPr>
          <w:rFonts w:ascii="Calibri" w:eastAsiaTheme="majorHAnsi" w:hAnsi="Calibri" w:cs="ProximaSoft-Thin"/>
          <w:color w:val="000000" w:themeColor="text1"/>
        </w:rPr>
        <w:t>ACIL Allen is a leading independent economics, policy and strategy advisory firm, dedicated to helping clients solve complex issues.</w:t>
      </w:r>
    </w:p>
    <w:p w14:paraId="1CC739DC" w14:textId="77777777" w:rsidR="005B5FF2" w:rsidRPr="005B5FF2" w:rsidRDefault="005B5FF2" w:rsidP="005B5FF2">
      <w:pPr>
        <w:pStyle w:val="BasicParagraph"/>
        <w:snapToGrid w:val="0"/>
        <w:spacing w:after="160" w:line="312" w:lineRule="auto"/>
        <w:rPr>
          <w:rFonts w:ascii="Calibri" w:eastAsiaTheme="majorHAnsi" w:hAnsi="Calibri" w:cs="ProximaSoft-Thin"/>
          <w:color w:val="000000" w:themeColor="text1"/>
        </w:rPr>
      </w:pPr>
      <w:r w:rsidRPr="005B5FF2">
        <w:rPr>
          <w:rFonts w:ascii="Calibri" w:eastAsiaTheme="majorHAnsi" w:hAnsi="Calibri" w:cs="ProximaSoft-Thin"/>
          <w:color w:val="000000" w:themeColor="text1"/>
        </w:rPr>
        <w:t>Our purpose is to help clients make informed decisions about complex economic and public policy issues.</w:t>
      </w:r>
    </w:p>
    <w:p w14:paraId="2203706F" w14:textId="77777777" w:rsidR="005B5FF2" w:rsidRPr="005B5FF2" w:rsidRDefault="005B5FF2" w:rsidP="005B5FF2">
      <w:pPr>
        <w:pStyle w:val="BasicParagraph"/>
        <w:snapToGrid w:val="0"/>
        <w:spacing w:after="160" w:line="312" w:lineRule="auto"/>
        <w:rPr>
          <w:rFonts w:ascii="Calibri" w:eastAsiaTheme="majorHAnsi" w:hAnsi="Calibri" w:cs="ProximaSoft-Thin"/>
          <w:color w:val="000000" w:themeColor="text1"/>
        </w:rPr>
      </w:pPr>
      <w:r w:rsidRPr="005B5FF2">
        <w:rPr>
          <w:rFonts w:ascii="Calibri" w:eastAsiaTheme="majorHAnsi" w:hAnsi="Calibri" w:cs="ProximaSoft-Thin"/>
          <w:color w:val="000000" w:themeColor="text1"/>
        </w:rPr>
        <w:t>Our vision is to be Australia’s most trusted economics, policy and strategy advisory firm. We are committed and passionate about providing rigorous independent advice that contributes to a better world.</w:t>
      </w:r>
    </w:p>
    <w:p w14:paraId="78FD1F0C" w14:textId="77777777" w:rsidR="005B5FF2" w:rsidRPr="005B5FF2" w:rsidRDefault="005B5FF2" w:rsidP="005B5FF2">
      <w:pPr>
        <w:pStyle w:val="BasicParagraph"/>
        <w:snapToGrid w:val="0"/>
        <w:spacing w:after="160" w:line="312" w:lineRule="auto"/>
        <w:rPr>
          <w:rFonts w:ascii="Calibri" w:eastAsiaTheme="majorHAnsi" w:hAnsi="Calibri" w:cs="ProximaSoft-Thin"/>
          <w:color w:val="000000" w:themeColor="text1"/>
        </w:rPr>
      </w:pPr>
    </w:p>
    <w:p w14:paraId="216AD910" w14:textId="300C504A" w:rsidR="005B5FF2" w:rsidRPr="00B26D4F" w:rsidRDefault="005B5FF2" w:rsidP="005B5FF2">
      <w:pPr>
        <w:pStyle w:val="BasicParagraph"/>
        <w:snapToGrid w:val="0"/>
        <w:spacing w:after="160" w:line="312" w:lineRule="auto"/>
        <w:rPr>
          <w:rFonts w:ascii="Calibri" w:eastAsiaTheme="majorHAnsi" w:hAnsi="Calibri" w:cs="ProximaSoft-Thin"/>
          <w:b/>
          <w:bCs/>
          <w:color w:val="8331A7"/>
        </w:rPr>
      </w:pPr>
      <w:r w:rsidRPr="00B26D4F">
        <w:rPr>
          <w:rFonts w:ascii="Calibri" w:eastAsiaTheme="majorHAnsi" w:hAnsi="Calibri" w:cs="ProximaSoft-Thin"/>
          <w:b/>
          <w:bCs/>
          <w:color w:val="8331A7"/>
        </w:rPr>
        <w:t>Report to: HumanAbility</w:t>
      </w:r>
    </w:p>
    <w:p w14:paraId="1B15F4CF" w14:textId="77777777" w:rsidR="005B5FF2" w:rsidRPr="005B5FF2" w:rsidRDefault="005B5FF2" w:rsidP="005B5FF2">
      <w:pPr>
        <w:pStyle w:val="BasicParagraph"/>
        <w:snapToGrid w:val="0"/>
        <w:spacing w:after="160" w:line="312" w:lineRule="auto"/>
        <w:rPr>
          <w:rFonts w:ascii="Calibri" w:eastAsiaTheme="majorHAnsi" w:hAnsi="Calibri" w:cs="ProximaSoft-Thin"/>
          <w:color w:val="000000" w:themeColor="text1"/>
        </w:rPr>
      </w:pPr>
      <w:r w:rsidRPr="005B5FF2">
        <w:rPr>
          <w:rFonts w:ascii="Calibri" w:eastAsiaTheme="majorHAnsi" w:hAnsi="Calibri" w:cs="ProximaSoft-Thin"/>
          <w:color w:val="000000" w:themeColor="text1"/>
        </w:rPr>
        <w:t>Copyright in this document is and remains the property of ACIL Allen Pty Ltd. This document must not be reproduced in whole or in part without ACIL Allen’s prior consent. Its content must only be used for the purposes of evaluation with a view to contracting ACIL Allen to carrying out the work that is the subject matter of the document. No other use whatsoever can be made to any material or any recommendation, matter or thing in the document without ACIL Allen’s prior written agreement</w:t>
      </w:r>
    </w:p>
    <w:p w14:paraId="345D734E" w14:textId="77777777" w:rsidR="005B5FF2" w:rsidRPr="005B5FF2" w:rsidRDefault="005B5FF2" w:rsidP="005B5FF2">
      <w:pPr>
        <w:pStyle w:val="BasicParagraph"/>
        <w:snapToGrid w:val="0"/>
        <w:spacing w:after="160" w:line="312" w:lineRule="auto"/>
        <w:rPr>
          <w:rFonts w:ascii="Calibri" w:eastAsiaTheme="majorHAnsi" w:hAnsi="Calibri" w:cs="ProximaSoft-Thin"/>
          <w:color w:val="000000" w:themeColor="text1"/>
        </w:rPr>
      </w:pPr>
      <w:r w:rsidRPr="005B5FF2">
        <w:rPr>
          <w:rFonts w:ascii="Calibri" w:eastAsiaTheme="majorHAnsi" w:hAnsi="Calibri" w:cs="ProximaSoft-Thin"/>
          <w:color w:val="000000" w:themeColor="text1"/>
        </w:rPr>
        <w:t>© ACIL Allen 2025</w:t>
      </w:r>
    </w:p>
    <w:p w14:paraId="001D4378" w14:textId="77777777" w:rsidR="005B5FF2" w:rsidRPr="005B5FF2" w:rsidRDefault="005B5FF2" w:rsidP="005B5FF2">
      <w:pPr>
        <w:pStyle w:val="BasicParagraph"/>
        <w:snapToGrid w:val="0"/>
        <w:spacing w:after="160" w:line="312" w:lineRule="auto"/>
        <w:rPr>
          <w:rFonts w:ascii="Calibri" w:eastAsiaTheme="majorHAnsi" w:hAnsi="Calibri" w:cs="ProximaSoft-Thin"/>
          <w:color w:val="000000" w:themeColor="text1"/>
        </w:rPr>
      </w:pPr>
    </w:p>
    <w:p w14:paraId="2F04D038" w14:textId="7E938572" w:rsidR="005B5FF2" w:rsidRPr="005B5FF2" w:rsidRDefault="005B5FF2" w:rsidP="005B5FF2">
      <w:pPr>
        <w:pStyle w:val="BasicParagraph"/>
        <w:snapToGrid w:val="0"/>
        <w:spacing w:after="160" w:line="312" w:lineRule="auto"/>
        <w:rPr>
          <w:rFonts w:ascii="Calibri" w:eastAsiaTheme="majorHAnsi" w:hAnsi="Calibri" w:cs="ProximaSoft-Thin"/>
          <w:color w:val="000000" w:themeColor="text1"/>
        </w:rPr>
      </w:pPr>
      <w:r w:rsidRPr="005B5FF2">
        <w:rPr>
          <w:rFonts w:ascii="Calibri" w:eastAsiaTheme="majorHAnsi" w:hAnsi="Calibri" w:cs="ProximaSoft-Thin"/>
          <w:color w:val="000000" w:themeColor="text1"/>
        </w:rPr>
        <w:t xml:space="preserve">ACIL Allen acknowledges Aboriginal and Torres Strait Islander peoples as the Traditional Custodians of the land and its waters. We pay our respects to Elders, past and present, and to the youth, for the future. We extend this to all Aboriginal and Torres Strait Islander peoples reading this report. </w:t>
      </w:r>
    </w:p>
    <w:p w14:paraId="3072D806" w14:textId="77777777" w:rsidR="005B5FF2" w:rsidRPr="005B5FF2" w:rsidRDefault="005B5FF2" w:rsidP="005B5FF2">
      <w:pPr>
        <w:pStyle w:val="TOC2"/>
        <w:spacing w:before="0" w:after="160" w:line="336" w:lineRule="auto"/>
        <w:ind w:left="0"/>
        <w:rPr>
          <w:rFonts w:ascii="Calibri" w:hAnsi="Calibri"/>
          <w:szCs w:val="24"/>
        </w:rPr>
      </w:pPr>
    </w:p>
    <w:p w14:paraId="3D98FCD1" w14:textId="77777777" w:rsidR="005B5FF2" w:rsidRDefault="005B5FF2" w:rsidP="009A5A48">
      <w:pPr>
        <w:pStyle w:val="TOC2"/>
        <w:spacing w:line="320" w:lineRule="exact"/>
        <w:rPr>
          <w:rFonts w:ascii="Calibri" w:hAnsi="Calibri"/>
          <w:szCs w:val="24"/>
        </w:rPr>
      </w:pPr>
    </w:p>
    <w:p w14:paraId="5516729B" w14:textId="77777777" w:rsidR="005B5FF2" w:rsidRDefault="005B5FF2">
      <w:pPr>
        <w:spacing w:before="0" w:after="160" w:line="259" w:lineRule="auto"/>
        <w:rPr>
          <w:rFonts w:ascii="Calibri" w:eastAsia="Yu Gothic Medium" w:hAnsi="Calibri" w:cstheme="minorBidi"/>
          <w:b/>
          <w:noProof/>
          <w:color w:val="000100"/>
          <w:sz w:val="24"/>
          <w:szCs w:val="24"/>
        </w:rPr>
      </w:pPr>
      <w:r>
        <w:rPr>
          <w:rFonts w:ascii="Calibri" w:hAnsi="Calibri"/>
          <w:szCs w:val="24"/>
        </w:rPr>
        <w:br w:type="page"/>
      </w:r>
    </w:p>
    <w:p w14:paraId="7B8A9AB1" w14:textId="77777777" w:rsidR="009A4521" w:rsidRPr="005E2987" w:rsidRDefault="009A4521" w:rsidP="009A4521">
      <w:pPr>
        <w:pStyle w:val="TOC2"/>
        <w:tabs>
          <w:tab w:val="left" w:pos="1134"/>
        </w:tabs>
        <w:spacing w:line="240" w:lineRule="auto"/>
        <w:rPr>
          <w:rFonts w:ascii="Calibri" w:hAnsi="Calibri"/>
          <w:i w:val="0"/>
          <w:iCs w:val="0"/>
          <w:color w:val="8331A7"/>
          <w:sz w:val="36"/>
          <w:szCs w:val="36"/>
        </w:rPr>
      </w:pPr>
      <w:r w:rsidRPr="005E2987">
        <w:rPr>
          <w:rFonts w:ascii="Calibri" w:hAnsi="Calibri"/>
          <w:i w:val="0"/>
          <w:iCs w:val="0"/>
          <w:color w:val="8331A7"/>
          <w:sz w:val="36"/>
          <w:szCs w:val="36"/>
        </w:rPr>
        <w:lastRenderedPageBreak/>
        <w:t>Contents</w:t>
      </w:r>
    </w:p>
    <w:p w14:paraId="5B3FF09E" w14:textId="16F30D49" w:rsidR="009A4521" w:rsidRPr="005E2987" w:rsidRDefault="009A4521" w:rsidP="009A4521">
      <w:pPr>
        <w:pStyle w:val="TOC2"/>
        <w:tabs>
          <w:tab w:val="left" w:pos="660"/>
          <w:tab w:val="right" w:leader="dot" w:pos="10194"/>
        </w:tabs>
        <w:rPr>
          <w:rFonts w:ascii="Calibri" w:eastAsiaTheme="minorEastAsia" w:hAnsi="Calibri" w:cs="Calibri"/>
          <w:i w:val="0"/>
          <w:iCs w:val="0"/>
          <w:noProof/>
          <w:kern w:val="2"/>
          <w:sz w:val="24"/>
          <w:szCs w:val="24"/>
          <w:lang w:eastAsia="en-GB"/>
          <w14:ligatures w14:val="standardContextual"/>
        </w:rPr>
      </w:pPr>
      <w:r w:rsidRPr="005E2987">
        <w:rPr>
          <w:rFonts w:ascii="Calibri" w:hAnsi="Calibri" w:cs="Calibri"/>
          <w:b/>
          <w:i w:val="0"/>
          <w:iCs w:val="0"/>
          <w:sz w:val="24"/>
          <w:szCs w:val="24"/>
        </w:rPr>
        <w:fldChar w:fldCharType="begin"/>
      </w:r>
      <w:r w:rsidRPr="005E2987">
        <w:rPr>
          <w:rFonts w:ascii="Calibri" w:hAnsi="Calibri" w:cs="Calibri"/>
          <w:i w:val="0"/>
          <w:iCs w:val="0"/>
          <w:sz w:val="24"/>
          <w:szCs w:val="24"/>
        </w:rPr>
        <w:instrText xml:space="preserve"> TOC \o "2-2" \h \z \t "Heading 1,2,Heading 2,3,Part - Heading (Banner),1,Heading 1 (ES),1,App - Divider (Heading),1,Heading 6,2,Heading 7,3,Heading (glossary),1" </w:instrText>
      </w:r>
      <w:r w:rsidRPr="005E2987">
        <w:rPr>
          <w:rFonts w:ascii="Calibri" w:hAnsi="Calibri" w:cs="Calibri"/>
          <w:b/>
          <w:i w:val="0"/>
          <w:iCs w:val="0"/>
          <w:sz w:val="24"/>
          <w:szCs w:val="24"/>
        </w:rPr>
        <w:fldChar w:fldCharType="separate"/>
      </w:r>
      <w:hyperlink w:anchor="_Toc199322297" w:history="1">
        <w:r w:rsidRPr="005E2987">
          <w:rPr>
            <w:rStyle w:val="Hyperlink"/>
            <w:rFonts w:ascii="Calibri" w:hAnsi="Calibri" w:cs="Calibri"/>
            <w:i w:val="0"/>
            <w:iCs w:val="0"/>
            <w:noProof/>
            <w:sz w:val="24"/>
            <w:szCs w:val="24"/>
          </w:rPr>
          <w:t>1.</w:t>
        </w:r>
        <w:r w:rsidR="003C451B" w:rsidRPr="005E2987">
          <w:rPr>
            <w:rStyle w:val="Hyperlink"/>
            <w:rFonts w:ascii="Calibri" w:hAnsi="Calibri" w:cs="Calibri"/>
            <w:i w:val="0"/>
            <w:iCs w:val="0"/>
            <w:noProof/>
            <w:sz w:val="24"/>
            <w:szCs w:val="24"/>
          </w:rPr>
          <w:t xml:space="preserve"> </w:t>
        </w:r>
        <w:r w:rsidRPr="005E2987">
          <w:rPr>
            <w:rStyle w:val="Hyperlink"/>
            <w:rFonts w:ascii="Calibri" w:hAnsi="Calibri" w:cs="Calibri"/>
            <w:i w:val="0"/>
            <w:iCs w:val="0"/>
            <w:noProof/>
            <w:sz w:val="24"/>
            <w:szCs w:val="24"/>
          </w:rPr>
          <w:t>Introduction</w:t>
        </w:r>
        <w:r w:rsidRPr="005E2987">
          <w:rPr>
            <w:rFonts w:ascii="Calibri" w:hAnsi="Calibri" w:cs="Calibri"/>
            <w:i w:val="0"/>
            <w:iCs w:val="0"/>
            <w:noProof/>
            <w:webHidden/>
            <w:sz w:val="24"/>
            <w:szCs w:val="24"/>
          </w:rPr>
          <w:tab/>
        </w:r>
        <w:r w:rsidRPr="005E2987">
          <w:rPr>
            <w:rFonts w:ascii="Calibri" w:hAnsi="Calibri" w:cs="Calibri"/>
            <w:i w:val="0"/>
            <w:iCs w:val="0"/>
            <w:noProof/>
            <w:webHidden/>
            <w:sz w:val="24"/>
            <w:szCs w:val="24"/>
          </w:rPr>
          <w:fldChar w:fldCharType="begin"/>
        </w:r>
        <w:r w:rsidRPr="005E2987">
          <w:rPr>
            <w:rFonts w:ascii="Calibri" w:hAnsi="Calibri" w:cs="Calibri"/>
            <w:i w:val="0"/>
            <w:iCs w:val="0"/>
            <w:noProof/>
            <w:webHidden/>
            <w:sz w:val="24"/>
            <w:szCs w:val="24"/>
          </w:rPr>
          <w:instrText xml:space="preserve"> PAGEREF _Toc199322297 \h </w:instrText>
        </w:r>
        <w:r w:rsidRPr="005E2987">
          <w:rPr>
            <w:rFonts w:ascii="Calibri" w:hAnsi="Calibri" w:cs="Calibri"/>
            <w:i w:val="0"/>
            <w:iCs w:val="0"/>
            <w:noProof/>
            <w:webHidden/>
            <w:sz w:val="24"/>
            <w:szCs w:val="24"/>
          </w:rPr>
        </w:r>
        <w:r w:rsidRPr="005E2987">
          <w:rPr>
            <w:rFonts w:ascii="Calibri" w:hAnsi="Calibri" w:cs="Calibri"/>
            <w:i w:val="0"/>
            <w:iCs w:val="0"/>
            <w:noProof/>
            <w:webHidden/>
            <w:sz w:val="24"/>
            <w:szCs w:val="24"/>
          </w:rPr>
          <w:fldChar w:fldCharType="separate"/>
        </w:r>
        <w:r w:rsidRPr="005E2987">
          <w:rPr>
            <w:rFonts w:ascii="Calibri" w:hAnsi="Calibri" w:cs="Calibri"/>
            <w:i w:val="0"/>
            <w:iCs w:val="0"/>
            <w:noProof/>
            <w:webHidden/>
            <w:sz w:val="24"/>
            <w:szCs w:val="24"/>
          </w:rPr>
          <w:t>1</w:t>
        </w:r>
        <w:r w:rsidRPr="005E2987">
          <w:rPr>
            <w:rFonts w:ascii="Calibri" w:hAnsi="Calibri" w:cs="Calibri"/>
            <w:i w:val="0"/>
            <w:iCs w:val="0"/>
            <w:noProof/>
            <w:webHidden/>
            <w:sz w:val="24"/>
            <w:szCs w:val="24"/>
          </w:rPr>
          <w:fldChar w:fldCharType="end"/>
        </w:r>
      </w:hyperlink>
    </w:p>
    <w:p w14:paraId="59D14241" w14:textId="43F65F75" w:rsidR="009A4521" w:rsidRPr="005E2987" w:rsidRDefault="009A4521" w:rsidP="009A4521">
      <w:pPr>
        <w:pStyle w:val="TOC2"/>
        <w:tabs>
          <w:tab w:val="left" w:pos="660"/>
          <w:tab w:val="right" w:leader="dot" w:pos="10194"/>
        </w:tabs>
        <w:rPr>
          <w:rFonts w:ascii="Calibri" w:eastAsiaTheme="minorEastAsia" w:hAnsi="Calibri" w:cs="Calibri"/>
          <w:i w:val="0"/>
          <w:iCs w:val="0"/>
          <w:noProof/>
          <w:kern w:val="2"/>
          <w:sz w:val="24"/>
          <w:szCs w:val="24"/>
          <w:lang w:eastAsia="en-GB"/>
          <w14:ligatures w14:val="standardContextual"/>
        </w:rPr>
      </w:pPr>
      <w:hyperlink w:anchor="_Toc199322305" w:history="1">
        <w:r w:rsidR="003C451B" w:rsidRPr="005E2987">
          <w:rPr>
            <w:rStyle w:val="Hyperlink"/>
            <w:rFonts w:ascii="Calibri" w:hAnsi="Calibri" w:cs="Calibri"/>
            <w:i w:val="0"/>
            <w:iCs w:val="0"/>
            <w:noProof/>
            <w:sz w:val="24"/>
            <w:szCs w:val="24"/>
          </w:rPr>
          <w:t xml:space="preserve">2. </w:t>
        </w:r>
        <w:r w:rsidRPr="005E2987">
          <w:rPr>
            <w:rStyle w:val="Hyperlink"/>
            <w:rFonts w:ascii="Calibri" w:hAnsi="Calibri" w:cs="Calibri"/>
            <w:i w:val="0"/>
            <w:iCs w:val="0"/>
            <w:noProof/>
            <w:sz w:val="24"/>
            <w:szCs w:val="24"/>
          </w:rPr>
          <w:t>Attracting workers</w:t>
        </w:r>
        <w:r w:rsidRPr="005E2987">
          <w:rPr>
            <w:rFonts w:ascii="Calibri" w:hAnsi="Calibri" w:cs="Calibri"/>
            <w:i w:val="0"/>
            <w:iCs w:val="0"/>
            <w:noProof/>
            <w:webHidden/>
            <w:sz w:val="24"/>
            <w:szCs w:val="24"/>
          </w:rPr>
          <w:tab/>
        </w:r>
        <w:r w:rsidRPr="005E2987">
          <w:rPr>
            <w:rFonts w:ascii="Calibri" w:hAnsi="Calibri" w:cs="Calibri"/>
            <w:i w:val="0"/>
            <w:iCs w:val="0"/>
            <w:noProof/>
            <w:webHidden/>
            <w:sz w:val="24"/>
            <w:szCs w:val="24"/>
          </w:rPr>
          <w:fldChar w:fldCharType="begin"/>
        </w:r>
        <w:r w:rsidRPr="005E2987">
          <w:rPr>
            <w:rFonts w:ascii="Calibri" w:hAnsi="Calibri" w:cs="Calibri"/>
            <w:i w:val="0"/>
            <w:iCs w:val="0"/>
            <w:noProof/>
            <w:webHidden/>
            <w:sz w:val="24"/>
            <w:szCs w:val="24"/>
          </w:rPr>
          <w:instrText xml:space="preserve"> PAGEREF _Toc199322305 \h </w:instrText>
        </w:r>
        <w:r w:rsidRPr="005E2987">
          <w:rPr>
            <w:rFonts w:ascii="Calibri" w:hAnsi="Calibri" w:cs="Calibri"/>
            <w:i w:val="0"/>
            <w:iCs w:val="0"/>
            <w:noProof/>
            <w:webHidden/>
            <w:sz w:val="24"/>
            <w:szCs w:val="24"/>
          </w:rPr>
        </w:r>
        <w:r w:rsidRPr="005E2987">
          <w:rPr>
            <w:rFonts w:ascii="Calibri" w:hAnsi="Calibri" w:cs="Calibri"/>
            <w:i w:val="0"/>
            <w:iCs w:val="0"/>
            <w:noProof/>
            <w:webHidden/>
            <w:sz w:val="24"/>
            <w:szCs w:val="24"/>
          </w:rPr>
          <w:fldChar w:fldCharType="separate"/>
        </w:r>
        <w:r w:rsidRPr="005E2987">
          <w:rPr>
            <w:rFonts w:ascii="Calibri" w:hAnsi="Calibri" w:cs="Calibri"/>
            <w:i w:val="0"/>
            <w:iCs w:val="0"/>
            <w:noProof/>
            <w:webHidden/>
            <w:sz w:val="24"/>
            <w:szCs w:val="24"/>
          </w:rPr>
          <w:t>5</w:t>
        </w:r>
        <w:r w:rsidRPr="005E2987">
          <w:rPr>
            <w:rFonts w:ascii="Calibri" w:hAnsi="Calibri" w:cs="Calibri"/>
            <w:i w:val="0"/>
            <w:iCs w:val="0"/>
            <w:noProof/>
            <w:webHidden/>
            <w:sz w:val="24"/>
            <w:szCs w:val="24"/>
          </w:rPr>
          <w:fldChar w:fldCharType="end"/>
        </w:r>
      </w:hyperlink>
    </w:p>
    <w:p w14:paraId="46701422" w14:textId="7D5519BF" w:rsidR="009A4521" w:rsidRPr="005E2987" w:rsidRDefault="009A4521" w:rsidP="009A4521">
      <w:pPr>
        <w:pStyle w:val="TOC2"/>
        <w:tabs>
          <w:tab w:val="left" w:pos="660"/>
          <w:tab w:val="right" w:leader="dot" w:pos="10194"/>
        </w:tabs>
        <w:rPr>
          <w:rFonts w:ascii="Calibri" w:eastAsiaTheme="minorEastAsia" w:hAnsi="Calibri" w:cs="Calibri"/>
          <w:i w:val="0"/>
          <w:iCs w:val="0"/>
          <w:noProof/>
          <w:kern w:val="2"/>
          <w:sz w:val="24"/>
          <w:szCs w:val="24"/>
          <w:lang w:eastAsia="en-GB"/>
          <w14:ligatures w14:val="standardContextual"/>
        </w:rPr>
      </w:pPr>
      <w:hyperlink w:anchor="_Toc199322310" w:history="1">
        <w:r w:rsidR="005E2987" w:rsidRPr="005E2987">
          <w:rPr>
            <w:rStyle w:val="Hyperlink"/>
            <w:rFonts w:ascii="Calibri" w:hAnsi="Calibri" w:cs="Calibri"/>
            <w:i w:val="0"/>
            <w:iCs w:val="0"/>
            <w:noProof/>
            <w:sz w:val="24"/>
            <w:szCs w:val="24"/>
          </w:rPr>
          <w:t>3</w:t>
        </w:r>
        <w:r w:rsidRPr="005E2987">
          <w:rPr>
            <w:rStyle w:val="Hyperlink"/>
            <w:rFonts w:ascii="Calibri" w:hAnsi="Calibri" w:cs="Calibri"/>
            <w:i w:val="0"/>
            <w:iCs w:val="0"/>
            <w:noProof/>
            <w:sz w:val="24"/>
            <w:szCs w:val="24"/>
          </w:rPr>
          <w:t>.</w:t>
        </w:r>
        <w:r w:rsidR="00E46F9E">
          <w:rPr>
            <w:rFonts w:ascii="Calibri" w:eastAsiaTheme="minorEastAsia" w:hAnsi="Calibri" w:cs="Calibri"/>
            <w:i w:val="0"/>
            <w:iCs w:val="0"/>
            <w:noProof/>
            <w:kern w:val="2"/>
            <w:sz w:val="24"/>
            <w:szCs w:val="24"/>
            <w:lang w:eastAsia="en-GB"/>
            <w14:ligatures w14:val="standardContextual"/>
          </w:rPr>
          <w:t xml:space="preserve"> </w:t>
        </w:r>
        <w:r w:rsidRPr="005E2987">
          <w:rPr>
            <w:rStyle w:val="Hyperlink"/>
            <w:rFonts w:ascii="Calibri" w:hAnsi="Calibri" w:cs="Calibri"/>
            <w:i w:val="0"/>
            <w:iCs w:val="0"/>
            <w:noProof/>
            <w:sz w:val="24"/>
            <w:szCs w:val="24"/>
          </w:rPr>
          <w:t>Supporting placements</w:t>
        </w:r>
        <w:r w:rsidRPr="005E2987">
          <w:rPr>
            <w:rFonts w:ascii="Calibri" w:hAnsi="Calibri" w:cs="Calibri"/>
            <w:i w:val="0"/>
            <w:iCs w:val="0"/>
            <w:noProof/>
            <w:webHidden/>
            <w:sz w:val="24"/>
            <w:szCs w:val="24"/>
          </w:rPr>
          <w:tab/>
        </w:r>
        <w:r w:rsidRPr="005E2987">
          <w:rPr>
            <w:rFonts w:ascii="Calibri" w:hAnsi="Calibri" w:cs="Calibri"/>
            <w:i w:val="0"/>
            <w:iCs w:val="0"/>
            <w:noProof/>
            <w:webHidden/>
            <w:sz w:val="24"/>
            <w:szCs w:val="24"/>
          </w:rPr>
          <w:fldChar w:fldCharType="begin"/>
        </w:r>
        <w:r w:rsidRPr="005E2987">
          <w:rPr>
            <w:rFonts w:ascii="Calibri" w:hAnsi="Calibri" w:cs="Calibri"/>
            <w:i w:val="0"/>
            <w:iCs w:val="0"/>
            <w:noProof/>
            <w:webHidden/>
            <w:sz w:val="24"/>
            <w:szCs w:val="24"/>
          </w:rPr>
          <w:instrText xml:space="preserve"> PAGEREF _Toc199322310 \h </w:instrText>
        </w:r>
        <w:r w:rsidRPr="005E2987">
          <w:rPr>
            <w:rFonts w:ascii="Calibri" w:hAnsi="Calibri" w:cs="Calibri"/>
            <w:i w:val="0"/>
            <w:iCs w:val="0"/>
            <w:noProof/>
            <w:webHidden/>
            <w:sz w:val="24"/>
            <w:szCs w:val="24"/>
          </w:rPr>
        </w:r>
        <w:r w:rsidRPr="005E2987">
          <w:rPr>
            <w:rFonts w:ascii="Calibri" w:hAnsi="Calibri" w:cs="Calibri"/>
            <w:i w:val="0"/>
            <w:iCs w:val="0"/>
            <w:noProof/>
            <w:webHidden/>
            <w:sz w:val="24"/>
            <w:szCs w:val="24"/>
          </w:rPr>
          <w:fldChar w:fldCharType="separate"/>
        </w:r>
        <w:r w:rsidRPr="005E2987">
          <w:rPr>
            <w:rFonts w:ascii="Calibri" w:hAnsi="Calibri" w:cs="Calibri"/>
            <w:i w:val="0"/>
            <w:iCs w:val="0"/>
            <w:noProof/>
            <w:webHidden/>
            <w:sz w:val="24"/>
            <w:szCs w:val="24"/>
          </w:rPr>
          <w:t>9</w:t>
        </w:r>
        <w:r w:rsidRPr="005E2987">
          <w:rPr>
            <w:rFonts w:ascii="Calibri" w:hAnsi="Calibri" w:cs="Calibri"/>
            <w:i w:val="0"/>
            <w:iCs w:val="0"/>
            <w:noProof/>
            <w:webHidden/>
            <w:sz w:val="24"/>
            <w:szCs w:val="24"/>
          </w:rPr>
          <w:fldChar w:fldCharType="end"/>
        </w:r>
      </w:hyperlink>
    </w:p>
    <w:p w14:paraId="735FEB33" w14:textId="450835AB" w:rsidR="009A4521" w:rsidRPr="005E2987" w:rsidRDefault="005E2987" w:rsidP="009A4521">
      <w:pPr>
        <w:pStyle w:val="TOC2"/>
        <w:tabs>
          <w:tab w:val="left" w:pos="660"/>
          <w:tab w:val="right" w:leader="dot" w:pos="10194"/>
        </w:tabs>
        <w:rPr>
          <w:rFonts w:ascii="Calibri" w:eastAsiaTheme="minorEastAsia" w:hAnsi="Calibri" w:cs="Calibri"/>
          <w:i w:val="0"/>
          <w:iCs w:val="0"/>
          <w:noProof/>
          <w:kern w:val="2"/>
          <w:sz w:val="24"/>
          <w:szCs w:val="24"/>
          <w:lang w:eastAsia="en-GB"/>
          <w14:ligatures w14:val="standardContextual"/>
        </w:rPr>
      </w:pPr>
      <w:hyperlink w:anchor="_Toc199322315" w:history="1">
        <w:r w:rsidRPr="005E2987">
          <w:rPr>
            <w:rStyle w:val="Hyperlink"/>
            <w:rFonts w:ascii="Calibri" w:hAnsi="Calibri" w:cs="Calibri"/>
            <w:i w:val="0"/>
            <w:iCs w:val="0"/>
            <w:noProof/>
            <w:sz w:val="24"/>
            <w:szCs w:val="24"/>
          </w:rPr>
          <w:t>4</w:t>
        </w:r>
        <w:r w:rsidR="009A4521" w:rsidRPr="005E2987">
          <w:rPr>
            <w:rStyle w:val="Hyperlink"/>
            <w:rFonts w:ascii="Calibri" w:hAnsi="Calibri" w:cs="Calibri"/>
            <w:i w:val="0"/>
            <w:iCs w:val="0"/>
            <w:noProof/>
            <w:sz w:val="24"/>
            <w:szCs w:val="24"/>
          </w:rPr>
          <w:t>.</w:t>
        </w:r>
        <w:r w:rsidR="00E46F9E">
          <w:rPr>
            <w:rFonts w:ascii="Calibri" w:eastAsiaTheme="minorEastAsia" w:hAnsi="Calibri" w:cs="Calibri"/>
            <w:i w:val="0"/>
            <w:iCs w:val="0"/>
            <w:noProof/>
            <w:kern w:val="2"/>
            <w:sz w:val="24"/>
            <w:szCs w:val="24"/>
            <w:lang w:eastAsia="en-GB"/>
            <w14:ligatures w14:val="standardContextual"/>
          </w:rPr>
          <w:t xml:space="preserve"> </w:t>
        </w:r>
        <w:r w:rsidR="009A4521" w:rsidRPr="005E2987">
          <w:rPr>
            <w:rStyle w:val="Hyperlink"/>
            <w:rFonts w:ascii="Calibri" w:hAnsi="Calibri" w:cs="Calibri"/>
            <w:i w:val="0"/>
            <w:iCs w:val="0"/>
            <w:noProof/>
            <w:sz w:val="24"/>
            <w:szCs w:val="24"/>
          </w:rPr>
          <w:t>Developing skills and recognising experience</w:t>
        </w:r>
        <w:r w:rsidR="009A4521" w:rsidRPr="005E2987">
          <w:rPr>
            <w:rFonts w:ascii="Calibri" w:hAnsi="Calibri" w:cs="Calibri"/>
            <w:i w:val="0"/>
            <w:iCs w:val="0"/>
            <w:noProof/>
            <w:webHidden/>
            <w:sz w:val="24"/>
            <w:szCs w:val="24"/>
          </w:rPr>
          <w:tab/>
        </w:r>
        <w:r w:rsidR="009A4521" w:rsidRPr="005E2987">
          <w:rPr>
            <w:rFonts w:ascii="Calibri" w:hAnsi="Calibri" w:cs="Calibri"/>
            <w:i w:val="0"/>
            <w:iCs w:val="0"/>
            <w:noProof/>
            <w:webHidden/>
            <w:sz w:val="24"/>
            <w:szCs w:val="24"/>
          </w:rPr>
          <w:fldChar w:fldCharType="begin"/>
        </w:r>
        <w:r w:rsidR="009A4521" w:rsidRPr="005E2987">
          <w:rPr>
            <w:rFonts w:ascii="Calibri" w:hAnsi="Calibri" w:cs="Calibri"/>
            <w:i w:val="0"/>
            <w:iCs w:val="0"/>
            <w:noProof/>
            <w:webHidden/>
            <w:sz w:val="24"/>
            <w:szCs w:val="24"/>
          </w:rPr>
          <w:instrText xml:space="preserve"> PAGEREF _Toc199322315 \h </w:instrText>
        </w:r>
        <w:r w:rsidR="009A4521" w:rsidRPr="005E2987">
          <w:rPr>
            <w:rFonts w:ascii="Calibri" w:hAnsi="Calibri" w:cs="Calibri"/>
            <w:i w:val="0"/>
            <w:iCs w:val="0"/>
            <w:noProof/>
            <w:webHidden/>
            <w:sz w:val="24"/>
            <w:szCs w:val="24"/>
          </w:rPr>
        </w:r>
        <w:r w:rsidR="009A4521" w:rsidRPr="005E2987">
          <w:rPr>
            <w:rFonts w:ascii="Calibri" w:hAnsi="Calibri" w:cs="Calibri"/>
            <w:i w:val="0"/>
            <w:iCs w:val="0"/>
            <w:noProof/>
            <w:webHidden/>
            <w:sz w:val="24"/>
            <w:szCs w:val="24"/>
          </w:rPr>
          <w:fldChar w:fldCharType="separate"/>
        </w:r>
        <w:r w:rsidR="009A4521" w:rsidRPr="005E2987">
          <w:rPr>
            <w:rFonts w:ascii="Calibri" w:hAnsi="Calibri" w:cs="Calibri"/>
            <w:i w:val="0"/>
            <w:iCs w:val="0"/>
            <w:noProof/>
            <w:webHidden/>
            <w:sz w:val="24"/>
            <w:szCs w:val="24"/>
          </w:rPr>
          <w:t>12</w:t>
        </w:r>
        <w:r w:rsidR="009A4521" w:rsidRPr="005E2987">
          <w:rPr>
            <w:rFonts w:ascii="Calibri" w:hAnsi="Calibri" w:cs="Calibri"/>
            <w:i w:val="0"/>
            <w:iCs w:val="0"/>
            <w:noProof/>
            <w:webHidden/>
            <w:sz w:val="24"/>
            <w:szCs w:val="24"/>
          </w:rPr>
          <w:fldChar w:fldCharType="end"/>
        </w:r>
      </w:hyperlink>
    </w:p>
    <w:p w14:paraId="41681BAC" w14:textId="7D12D0CC" w:rsidR="009A4521" w:rsidRPr="005E2987" w:rsidRDefault="005E2987" w:rsidP="009A4521">
      <w:pPr>
        <w:pStyle w:val="TOC2"/>
        <w:tabs>
          <w:tab w:val="left" w:pos="660"/>
          <w:tab w:val="right" w:leader="dot" w:pos="10194"/>
        </w:tabs>
        <w:rPr>
          <w:rFonts w:ascii="Calibri" w:eastAsiaTheme="minorEastAsia" w:hAnsi="Calibri" w:cs="Calibri"/>
          <w:i w:val="0"/>
          <w:iCs w:val="0"/>
          <w:noProof/>
          <w:kern w:val="2"/>
          <w:sz w:val="24"/>
          <w:szCs w:val="24"/>
          <w:lang w:eastAsia="en-GB"/>
          <w14:ligatures w14:val="standardContextual"/>
        </w:rPr>
      </w:pPr>
      <w:hyperlink w:anchor="_Toc199322320" w:history="1">
        <w:r w:rsidRPr="005E2987">
          <w:rPr>
            <w:rStyle w:val="Hyperlink"/>
            <w:rFonts w:ascii="Calibri" w:hAnsi="Calibri" w:cs="Calibri"/>
            <w:i w:val="0"/>
            <w:iCs w:val="0"/>
            <w:noProof/>
            <w:sz w:val="24"/>
            <w:szCs w:val="24"/>
          </w:rPr>
          <w:t>5</w:t>
        </w:r>
        <w:r w:rsidR="009A4521" w:rsidRPr="005E2987">
          <w:rPr>
            <w:rStyle w:val="Hyperlink"/>
            <w:rFonts w:ascii="Calibri" w:hAnsi="Calibri" w:cs="Calibri"/>
            <w:i w:val="0"/>
            <w:iCs w:val="0"/>
            <w:noProof/>
            <w:sz w:val="24"/>
            <w:szCs w:val="24"/>
          </w:rPr>
          <w:t>.</w:t>
        </w:r>
        <w:r w:rsidR="00E46F9E">
          <w:rPr>
            <w:rFonts w:ascii="Calibri" w:eastAsiaTheme="minorEastAsia" w:hAnsi="Calibri" w:cs="Calibri"/>
            <w:i w:val="0"/>
            <w:iCs w:val="0"/>
            <w:noProof/>
            <w:kern w:val="2"/>
            <w:sz w:val="24"/>
            <w:szCs w:val="24"/>
            <w:lang w:eastAsia="en-GB"/>
            <w14:ligatures w14:val="standardContextual"/>
          </w:rPr>
          <w:t xml:space="preserve"> </w:t>
        </w:r>
        <w:r w:rsidR="009A4521" w:rsidRPr="005E2987">
          <w:rPr>
            <w:rStyle w:val="Hyperlink"/>
            <w:rFonts w:ascii="Calibri" w:hAnsi="Calibri" w:cs="Calibri"/>
            <w:i w:val="0"/>
            <w:iCs w:val="0"/>
            <w:noProof/>
            <w:sz w:val="24"/>
            <w:szCs w:val="24"/>
          </w:rPr>
          <w:t>Building pathways and retaining experience</w:t>
        </w:r>
        <w:r w:rsidR="009A4521" w:rsidRPr="005E2987">
          <w:rPr>
            <w:rFonts w:ascii="Calibri" w:hAnsi="Calibri" w:cs="Calibri"/>
            <w:i w:val="0"/>
            <w:iCs w:val="0"/>
            <w:noProof/>
            <w:webHidden/>
            <w:sz w:val="24"/>
            <w:szCs w:val="24"/>
          </w:rPr>
          <w:tab/>
        </w:r>
        <w:r w:rsidR="009A4521" w:rsidRPr="005E2987">
          <w:rPr>
            <w:rFonts w:ascii="Calibri" w:hAnsi="Calibri" w:cs="Calibri"/>
            <w:i w:val="0"/>
            <w:iCs w:val="0"/>
            <w:noProof/>
            <w:webHidden/>
            <w:sz w:val="24"/>
            <w:szCs w:val="24"/>
          </w:rPr>
          <w:fldChar w:fldCharType="begin"/>
        </w:r>
        <w:r w:rsidR="009A4521" w:rsidRPr="005E2987">
          <w:rPr>
            <w:rFonts w:ascii="Calibri" w:hAnsi="Calibri" w:cs="Calibri"/>
            <w:i w:val="0"/>
            <w:iCs w:val="0"/>
            <w:noProof/>
            <w:webHidden/>
            <w:sz w:val="24"/>
            <w:szCs w:val="24"/>
          </w:rPr>
          <w:instrText xml:space="preserve"> PAGEREF _Toc199322320 \h </w:instrText>
        </w:r>
        <w:r w:rsidR="009A4521" w:rsidRPr="005E2987">
          <w:rPr>
            <w:rFonts w:ascii="Calibri" w:hAnsi="Calibri" w:cs="Calibri"/>
            <w:i w:val="0"/>
            <w:iCs w:val="0"/>
            <w:noProof/>
            <w:webHidden/>
            <w:sz w:val="24"/>
            <w:szCs w:val="24"/>
          </w:rPr>
        </w:r>
        <w:r w:rsidR="009A4521" w:rsidRPr="005E2987">
          <w:rPr>
            <w:rFonts w:ascii="Calibri" w:hAnsi="Calibri" w:cs="Calibri"/>
            <w:i w:val="0"/>
            <w:iCs w:val="0"/>
            <w:noProof/>
            <w:webHidden/>
            <w:sz w:val="24"/>
            <w:szCs w:val="24"/>
          </w:rPr>
          <w:fldChar w:fldCharType="separate"/>
        </w:r>
        <w:r w:rsidR="009A4521" w:rsidRPr="005E2987">
          <w:rPr>
            <w:rFonts w:ascii="Calibri" w:hAnsi="Calibri" w:cs="Calibri"/>
            <w:i w:val="0"/>
            <w:iCs w:val="0"/>
            <w:noProof/>
            <w:webHidden/>
            <w:sz w:val="24"/>
            <w:szCs w:val="24"/>
          </w:rPr>
          <w:t>16</w:t>
        </w:r>
        <w:r w:rsidR="009A4521" w:rsidRPr="005E2987">
          <w:rPr>
            <w:rFonts w:ascii="Calibri" w:hAnsi="Calibri" w:cs="Calibri"/>
            <w:i w:val="0"/>
            <w:iCs w:val="0"/>
            <w:noProof/>
            <w:webHidden/>
            <w:sz w:val="24"/>
            <w:szCs w:val="24"/>
          </w:rPr>
          <w:fldChar w:fldCharType="end"/>
        </w:r>
      </w:hyperlink>
    </w:p>
    <w:p w14:paraId="361226E2" w14:textId="354DB282" w:rsidR="009A4521" w:rsidRPr="005E2987" w:rsidRDefault="005E2987" w:rsidP="009A4521">
      <w:pPr>
        <w:pStyle w:val="TOC2"/>
        <w:tabs>
          <w:tab w:val="left" w:pos="660"/>
          <w:tab w:val="right" w:leader="dot" w:pos="10194"/>
        </w:tabs>
        <w:rPr>
          <w:rFonts w:ascii="Calibri" w:eastAsiaTheme="minorEastAsia" w:hAnsi="Calibri" w:cs="Calibri"/>
          <w:i w:val="0"/>
          <w:iCs w:val="0"/>
          <w:noProof/>
          <w:kern w:val="2"/>
          <w:sz w:val="24"/>
          <w:szCs w:val="24"/>
          <w:lang w:eastAsia="en-GB"/>
          <w14:ligatures w14:val="standardContextual"/>
        </w:rPr>
      </w:pPr>
      <w:hyperlink w:anchor="_Toc199322326" w:history="1">
        <w:r w:rsidRPr="005E2987">
          <w:rPr>
            <w:rStyle w:val="Hyperlink"/>
            <w:rFonts w:ascii="Calibri" w:hAnsi="Calibri" w:cs="Calibri"/>
            <w:i w:val="0"/>
            <w:iCs w:val="0"/>
            <w:noProof/>
            <w:sz w:val="24"/>
            <w:szCs w:val="24"/>
          </w:rPr>
          <w:t>6</w:t>
        </w:r>
        <w:r w:rsidR="009A4521" w:rsidRPr="005E2987">
          <w:rPr>
            <w:rStyle w:val="Hyperlink"/>
            <w:rFonts w:ascii="Calibri" w:hAnsi="Calibri" w:cs="Calibri"/>
            <w:i w:val="0"/>
            <w:iCs w:val="0"/>
            <w:noProof/>
            <w:sz w:val="24"/>
            <w:szCs w:val="24"/>
          </w:rPr>
          <w:t>.</w:t>
        </w:r>
        <w:r w:rsidR="00E46F9E">
          <w:rPr>
            <w:rFonts w:ascii="Calibri" w:eastAsiaTheme="minorEastAsia" w:hAnsi="Calibri" w:cs="Calibri"/>
            <w:i w:val="0"/>
            <w:iCs w:val="0"/>
            <w:noProof/>
            <w:kern w:val="2"/>
            <w:sz w:val="24"/>
            <w:szCs w:val="24"/>
            <w:lang w:eastAsia="en-GB"/>
            <w14:ligatures w14:val="standardContextual"/>
          </w:rPr>
          <w:t xml:space="preserve"> </w:t>
        </w:r>
        <w:r w:rsidR="009A4521" w:rsidRPr="005E2987">
          <w:rPr>
            <w:rStyle w:val="Hyperlink"/>
            <w:rFonts w:ascii="Calibri" w:hAnsi="Calibri" w:cs="Calibri"/>
            <w:i w:val="0"/>
            <w:iCs w:val="0"/>
            <w:noProof/>
            <w:sz w:val="24"/>
            <w:szCs w:val="24"/>
          </w:rPr>
          <w:t>Supporting diversity</w:t>
        </w:r>
        <w:r w:rsidR="009A4521" w:rsidRPr="005E2987">
          <w:rPr>
            <w:rFonts w:ascii="Calibri" w:hAnsi="Calibri" w:cs="Calibri"/>
            <w:i w:val="0"/>
            <w:iCs w:val="0"/>
            <w:noProof/>
            <w:webHidden/>
            <w:sz w:val="24"/>
            <w:szCs w:val="24"/>
          </w:rPr>
          <w:tab/>
        </w:r>
        <w:r w:rsidR="009A4521" w:rsidRPr="005E2987">
          <w:rPr>
            <w:rFonts w:ascii="Calibri" w:hAnsi="Calibri" w:cs="Calibri"/>
            <w:i w:val="0"/>
            <w:iCs w:val="0"/>
            <w:noProof/>
            <w:webHidden/>
            <w:sz w:val="24"/>
            <w:szCs w:val="24"/>
          </w:rPr>
          <w:fldChar w:fldCharType="begin"/>
        </w:r>
        <w:r w:rsidR="009A4521" w:rsidRPr="005E2987">
          <w:rPr>
            <w:rFonts w:ascii="Calibri" w:hAnsi="Calibri" w:cs="Calibri"/>
            <w:i w:val="0"/>
            <w:iCs w:val="0"/>
            <w:noProof/>
            <w:webHidden/>
            <w:sz w:val="24"/>
            <w:szCs w:val="24"/>
          </w:rPr>
          <w:instrText xml:space="preserve"> PAGEREF _Toc199322326 \h </w:instrText>
        </w:r>
        <w:r w:rsidR="009A4521" w:rsidRPr="005E2987">
          <w:rPr>
            <w:rFonts w:ascii="Calibri" w:hAnsi="Calibri" w:cs="Calibri"/>
            <w:i w:val="0"/>
            <w:iCs w:val="0"/>
            <w:noProof/>
            <w:webHidden/>
            <w:sz w:val="24"/>
            <w:szCs w:val="24"/>
          </w:rPr>
        </w:r>
        <w:r w:rsidR="009A4521" w:rsidRPr="005E2987">
          <w:rPr>
            <w:rFonts w:ascii="Calibri" w:hAnsi="Calibri" w:cs="Calibri"/>
            <w:i w:val="0"/>
            <w:iCs w:val="0"/>
            <w:noProof/>
            <w:webHidden/>
            <w:sz w:val="24"/>
            <w:szCs w:val="24"/>
          </w:rPr>
          <w:fldChar w:fldCharType="separate"/>
        </w:r>
        <w:r w:rsidR="009A4521" w:rsidRPr="005E2987">
          <w:rPr>
            <w:rFonts w:ascii="Calibri" w:hAnsi="Calibri" w:cs="Calibri"/>
            <w:i w:val="0"/>
            <w:iCs w:val="0"/>
            <w:noProof/>
            <w:webHidden/>
            <w:sz w:val="24"/>
            <w:szCs w:val="24"/>
          </w:rPr>
          <w:t>21</w:t>
        </w:r>
        <w:r w:rsidR="009A4521" w:rsidRPr="005E2987">
          <w:rPr>
            <w:rFonts w:ascii="Calibri" w:hAnsi="Calibri" w:cs="Calibri"/>
            <w:i w:val="0"/>
            <w:iCs w:val="0"/>
            <w:noProof/>
            <w:webHidden/>
            <w:sz w:val="24"/>
            <w:szCs w:val="24"/>
          </w:rPr>
          <w:fldChar w:fldCharType="end"/>
        </w:r>
      </w:hyperlink>
    </w:p>
    <w:p w14:paraId="67DDE043" w14:textId="77777777" w:rsidR="009A4521" w:rsidRDefault="009A4521" w:rsidP="009A4521">
      <w:pPr>
        <w:pStyle w:val="BodyText"/>
        <w:tabs>
          <w:tab w:val="left" w:pos="1684"/>
        </w:tabs>
        <w:adjustRightInd w:val="0"/>
        <w:spacing w:before="0" w:after="60" w:line="240" w:lineRule="auto"/>
        <w:sectPr w:rsidR="009A4521" w:rsidSect="009A4521">
          <w:headerReference w:type="even" r:id="rId16"/>
          <w:headerReference w:type="default" r:id="rId17"/>
          <w:footerReference w:type="even" r:id="rId18"/>
          <w:headerReference w:type="first" r:id="rId19"/>
          <w:footerReference w:type="first" r:id="rId20"/>
          <w:pgSz w:w="11906" w:h="16838" w:code="9"/>
          <w:pgMar w:top="1134" w:right="851" w:bottom="1134" w:left="851" w:header="454" w:footer="159" w:gutter="0"/>
          <w:cols w:space="708"/>
          <w:docGrid w:linePitch="360"/>
        </w:sectPr>
      </w:pPr>
      <w:r w:rsidRPr="005E2987">
        <w:rPr>
          <w:rFonts w:ascii="Calibri" w:eastAsia="Yu Gothic Medium" w:hAnsi="Calibri" w:cs="Calibri"/>
          <w:noProof/>
          <w:color w:val="000100"/>
          <w:sz w:val="24"/>
          <w:szCs w:val="24"/>
        </w:rPr>
        <w:fldChar w:fldCharType="end"/>
      </w:r>
    </w:p>
    <w:p w14:paraId="0989B6FB" w14:textId="0777672F" w:rsidR="005C54AF" w:rsidRPr="000A5665" w:rsidRDefault="00D01A8C" w:rsidP="00A02950">
      <w:pPr>
        <w:pStyle w:val="Heading1"/>
        <w:spacing w:line="240" w:lineRule="auto"/>
        <w:rPr>
          <w:rFonts w:ascii="Calibri" w:hAnsi="Calibri"/>
          <w:color w:val="8331A7"/>
        </w:rPr>
      </w:pPr>
      <w:bookmarkStart w:id="0" w:name="_Toc190942895"/>
      <w:bookmarkStart w:id="1" w:name="_Toc199322297"/>
      <w:r w:rsidRPr="00D01A8C">
        <w:rPr>
          <w:rFonts w:ascii="Calibri" w:hAnsi="Calibri"/>
          <w:color w:val="8331A7"/>
        </w:rPr>
        <w:lastRenderedPageBreak/>
        <w:t>Introduction</w:t>
      </w:r>
      <w:bookmarkEnd w:id="0"/>
      <w:bookmarkEnd w:id="1"/>
    </w:p>
    <w:p w14:paraId="3E059EB0" w14:textId="34D19D8B" w:rsidR="005C54AF" w:rsidRPr="000A5665" w:rsidRDefault="007C0D8B" w:rsidP="007C0D8B">
      <w:pPr>
        <w:pStyle w:val="Heading2"/>
        <w:numPr>
          <w:ilvl w:val="0"/>
          <w:numId w:val="0"/>
        </w:numPr>
        <w:spacing w:line="240" w:lineRule="auto"/>
        <w:rPr>
          <w:rFonts w:ascii="Calibri" w:hAnsi="Calibri"/>
          <w:color w:val="8331A7"/>
        </w:rPr>
      </w:pPr>
      <w:bookmarkStart w:id="2" w:name="_Toc190942896"/>
      <w:bookmarkStart w:id="3" w:name="_Toc199322298"/>
      <w:r w:rsidRPr="007C0D8B">
        <w:rPr>
          <w:rFonts w:ascii="Calibri" w:hAnsi="Calibri"/>
          <w:color w:val="8331A7"/>
        </w:rPr>
        <w:t>The care and support secto</w:t>
      </w:r>
      <w:bookmarkEnd w:id="2"/>
      <w:r w:rsidR="004F1B28">
        <w:rPr>
          <w:rFonts w:ascii="Calibri" w:hAnsi="Calibri"/>
          <w:color w:val="8331A7"/>
        </w:rPr>
        <w:t>r</w:t>
      </w:r>
      <w:bookmarkEnd w:id="3"/>
    </w:p>
    <w:p w14:paraId="09DAB8A4" w14:textId="43B8EBD2" w:rsidR="00B4453F" w:rsidRPr="000A5665" w:rsidRDefault="00B4453F" w:rsidP="000A5665">
      <w:pPr>
        <w:pStyle w:val="BodyText"/>
        <w:spacing w:before="0" w:after="160" w:line="312" w:lineRule="auto"/>
        <w:rPr>
          <w:rFonts w:ascii="Calibri" w:hAnsi="Calibri"/>
          <w:sz w:val="24"/>
          <w:szCs w:val="24"/>
        </w:rPr>
      </w:pPr>
      <w:r w:rsidRPr="000A5665">
        <w:rPr>
          <w:rFonts w:ascii="Calibri" w:hAnsi="Calibri"/>
          <w:sz w:val="24"/>
          <w:szCs w:val="24"/>
        </w:rPr>
        <w:t>Th</w:t>
      </w:r>
      <w:r w:rsidR="00DC1CE2" w:rsidRPr="000A5665">
        <w:rPr>
          <w:rFonts w:ascii="Calibri" w:hAnsi="Calibri"/>
          <w:sz w:val="24"/>
          <w:szCs w:val="24"/>
        </w:rPr>
        <w:t xml:space="preserve">e </w:t>
      </w:r>
      <w:r w:rsidRPr="000A5665">
        <w:rPr>
          <w:rFonts w:ascii="Calibri" w:hAnsi="Calibri"/>
          <w:sz w:val="24"/>
          <w:szCs w:val="24"/>
        </w:rPr>
        <w:t>car</w:t>
      </w:r>
      <w:r w:rsidR="00DC1CE2" w:rsidRPr="000A5665">
        <w:rPr>
          <w:rFonts w:ascii="Calibri" w:hAnsi="Calibri"/>
          <w:sz w:val="24"/>
          <w:szCs w:val="24"/>
        </w:rPr>
        <w:t xml:space="preserve">e </w:t>
      </w:r>
      <w:r w:rsidRPr="000A5665">
        <w:rPr>
          <w:rFonts w:ascii="Calibri" w:hAnsi="Calibri"/>
          <w:sz w:val="24"/>
          <w:szCs w:val="24"/>
        </w:rPr>
        <w:t>workforc</w:t>
      </w:r>
      <w:r w:rsidR="00DC1CE2" w:rsidRPr="000A5665">
        <w:rPr>
          <w:rFonts w:ascii="Calibri" w:hAnsi="Calibri"/>
          <w:sz w:val="24"/>
          <w:szCs w:val="24"/>
        </w:rPr>
        <w:t xml:space="preserve">e </w:t>
      </w:r>
      <w:r w:rsidRPr="000A5665">
        <w:rPr>
          <w:rFonts w:ascii="Calibri" w:hAnsi="Calibri"/>
          <w:sz w:val="24"/>
          <w:szCs w:val="24"/>
        </w:rPr>
        <w:t>comprise</w:t>
      </w:r>
      <w:r w:rsidR="00DC1CE2" w:rsidRPr="000A5665">
        <w:rPr>
          <w:rFonts w:ascii="Calibri" w:hAnsi="Calibri"/>
          <w:sz w:val="24"/>
          <w:szCs w:val="24"/>
        </w:rPr>
        <w:t xml:space="preserve">s a </w:t>
      </w:r>
      <w:r w:rsidRPr="000A5665">
        <w:rPr>
          <w:rFonts w:ascii="Calibri" w:hAnsi="Calibri"/>
          <w:sz w:val="24"/>
          <w:szCs w:val="24"/>
        </w:rPr>
        <w:t>significan</w:t>
      </w:r>
      <w:r w:rsidR="00DC1CE2" w:rsidRPr="000A5665">
        <w:rPr>
          <w:rFonts w:ascii="Calibri" w:hAnsi="Calibri"/>
          <w:sz w:val="24"/>
          <w:szCs w:val="24"/>
        </w:rPr>
        <w:t xml:space="preserve">t </w:t>
      </w:r>
      <w:r w:rsidRPr="000A5665">
        <w:rPr>
          <w:rFonts w:ascii="Calibri" w:hAnsi="Calibri"/>
          <w:sz w:val="24"/>
          <w:szCs w:val="24"/>
        </w:rPr>
        <w:t>proportio</w:t>
      </w:r>
      <w:r w:rsidR="00DC1CE2" w:rsidRPr="000A5665">
        <w:rPr>
          <w:rFonts w:ascii="Calibri" w:hAnsi="Calibri"/>
          <w:sz w:val="24"/>
          <w:szCs w:val="24"/>
        </w:rPr>
        <w:t xml:space="preserve">n </w:t>
      </w:r>
      <w:r w:rsidRPr="000A5665">
        <w:rPr>
          <w:rFonts w:ascii="Calibri" w:hAnsi="Calibri"/>
          <w:sz w:val="24"/>
          <w:szCs w:val="24"/>
        </w:rPr>
        <w:t>o</w:t>
      </w:r>
      <w:r w:rsidR="00DC1CE2" w:rsidRPr="000A5665">
        <w:rPr>
          <w:rFonts w:ascii="Calibri" w:hAnsi="Calibri"/>
          <w:sz w:val="24"/>
          <w:szCs w:val="24"/>
        </w:rPr>
        <w:t xml:space="preserve">f </w:t>
      </w:r>
      <w:r w:rsidRPr="000A5665">
        <w:rPr>
          <w:rFonts w:ascii="Calibri" w:hAnsi="Calibri"/>
          <w:sz w:val="24"/>
          <w:szCs w:val="24"/>
        </w:rPr>
        <w:t>Australia’</w:t>
      </w:r>
      <w:r w:rsidR="00DC1CE2" w:rsidRPr="000A5665">
        <w:rPr>
          <w:rFonts w:ascii="Calibri" w:hAnsi="Calibri"/>
          <w:sz w:val="24"/>
          <w:szCs w:val="24"/>
        </w:rPr>
        <w:t xml:space="preserve">s </w:t>
      </w:r>
      <w:r w:rsidRPr="000A5665">
        <w:rPr>
          <w:rFonts w:ascii="Calibri" w:hAnsi="Calibri"/>
          <w:sz w:val="24"/>
          <w:szCs w:val="24"/>
        </w:rPr>
        <w:t>economy</w:t>
      </w:r>
      <w:r w:rsidR="00DC1CE2" w:rsidRPr="000A5665">
        <w:rPr>
          <w:rFonts w:ascii="Calibri" w:hAnsi="Calibri"/>
          <w:sz w:val="24"/>
          <w:szCs w:val="24"/>
        </w:rPr>
        <w:t xml:space="preserve">. </w:t>
      </w:r>
      <w:r w:rsidRPr="000A5665">
        <w:rPr>
          <w:rFonts w:ascii="Calibri" w:hAnsi="Calibri"/>
          <w:sz w:val="24"/>
          <w:szCs w:val="24"/>
        </w:rPr>
        <w:t>I</w:t>
      </w:r>
      <w:r w:rsidR="00DC1CE2" w:rsidRPr="000A5665">
        <w:rPr>
          <w:rFonts w:ascii="Calibri" w:hAnsi="Calibri"/>
          <w:sz w:val="24"/>
          <w:szCs w:val="24"/>
        </w:rPr>
        <w:t xml:space="preserve">n </w:t>
      </w:r>
      <w:r w:rsidRPr="000A5665">
        <w:rPr>
          <w:rFonts w:ascii="Calibri" w:hAnsi="Calibri"/>
          <w:sz w:val="24"/>
          <w:szCs w:val="24"/>
        </w:rPr>
        <w:t>recognitio</w:t>
      </w:r>
      <w:r w:rsidR="00DC1CE2" w:rsidRPr="000A5665">
        <w:rPr>
          <w:rFonts w:ascii="Calibri" w:hAnsi="Calibri"/>
          <w:sz w:val="24"/>
          <w:szCs w:val="24"/>
        </w:rPr>
        <w:t xml:space="preserve">n </w:t>
      </w:r>
      <w:r w:rsidRPr="000A5665">
        <w:rPr>
          <w:rFonts w:ascii="Calibri" w:hAnsi="Calibri"/>
          <w:sz w:val="24"/>
          <w:szCs w:val="24"/>
        </w:rPr>
        <w:t>tha</w:t>
      </w:r>
      <w:r w:rsidR="00DC1CE2" w:rsidRPr="000A5665">
        <w:rPr>
          <w:rFonts w:ascii="Calibri" w:hAnsi="Calibri"/>
          <w:sz w:val="24"/>
          <w:szCs w:val="24"/>
        </w:rPr>
        <w:t xml:space="preserve">t </w:t>
      </w:r>
      <w:r w:rsidRPr="000A5665">
        <w:rPr>
          <w:rFonts w:ascii="Calibri" w:hAnsi="Calibri"/>
          <w:sz w:val="24"/>
          <w:szCs w:val="24"/>
        </w:rPr>
        <w:t>th</w:t>
      </w:r>
      <w:r w:rsidR="00DC1CE2" w:rsidRPr="000A5665">
        <w:rPr>
          <w:rFonts w:ascii="Calibri" w:hAnsi="Calibri"/>
          <w:sz w:val="24"/>
          <w:szCs w:val="24"/>
        </w:rPr>
        <w:t xml:space="preserve">e </w:t>
      </w:r>
      <w:r w:rsidRPr="000A5665">
        <w:rPr>
          <w:rFonts w:ascii="Calibri" w:hAnsi="Calibri"/>
          <w:sz w:val="24"/>
          <w:szCs w:val="24"/>
        </w:rPr>
        <w:t>secto</w:t>
      </w:r>
      <w:r w:rsidR="00DC1CE2" w:rsidRPr="000A5665">
        <w:rPr>
          <w:rFonts w:ascii="Calibri" w:hAnsi="Calibri"/>
          <w:sz w:val="24"/>
          <w:szCs w:val="24"/>
        </w:rPr>
        <w:t xml:space="preserve">r </w:t>
      </w:r>
      <w:r w:rsidRPr="000A5665">
        <w:rPr>
          <w:rFonts w:ascii="Calibri" w:hAnsi="Calibri"/>
          <w:sz w:val="24"/>
          <w:szCs w:val="24"/>
        </w:rPr>
        <w:t>i</w:t>
      </w:r>
      <w:r w:rsidR="00DC1CE2" w:rsidRPr="000A5665">
        <w:rPr>
          <w:rFonts w:ascii="Calibri" w:hAnsi="Calibri"/>
          <w:sz w:val="24"/>
          <w:szCs w:val="24"/>
        </w:rPr>
        <w:t xml:space="preserve">s </w:t>
      </w:r>
      <w:r w:rsidRPr="000A5665">
        <w:rPr>
          <w:rFonts w:ascii="Calibri" w:hAnsi="Calibri"/>
          <w:sz w:val="24"/>
          <w:szCs w:val="24"/>
        </w:rPr>
        <w:t>on</w:t>
      </w:r>
      <w:r w:rsidR="00DC1CE2" w:rsidRPr="000A5665">
        <w:rPr>
          <w:rFonts w:ascii="Calibri" w:hAnsi="Calibri"/>
          <w:sz w:val="24"/>
          <w:szCs w:val="24"/>
        </w:rPr>
        <w:t xml:space="preserve">e </w:t>
      </w:r>
      <w:r w:rsidRPr="000A5665">
        <w:rPr>
          <w:rFonts w:ascii="Calibri" w:hAnsi="Calibri"/>
          <w:sz w:val="24"/>
          <w:szCs w:val="24"/>
        </w:rPr>
        <w:t>o</w:t>
      </w:r>
      <w:r w:rsidR="00DC1CE2" w:rsidRPr="000A5665">
        <w:rPr>
          <w:rFonts w:ascii="Calibri" w:hAnsi="Calibri"/>
          <w:sz w:val="24"/>
          <w:szCs w:val="24"/>
        </w:rPr>
        <w:t xml:space="preserve">f </w:t>
      </w:r>
      <w:r w:rsidRPr="000A5665">
        <w:rPr>
          <w:rFonts w:ascii="Calibri" w:hAnsi="Calibri"/>
          <w:sz w:val="24"/>
          <w:szCs w:val="24"/>
        </w:rPr>
        <w:t>th</w:t>
      </w:r>
      <w:r w:rsidR="00DC1CE2" w:rsidRPr="000A5665">
        <w:rPr>
          <w:rFonts w:ascii="Calibri" w:hAnsi="Calibri"/>
          <w:sz w:val="24"/>
          <w:szCs w:val="24"/>
        </w:rPr>
        <w:t xml:space="preserve">e </w:t>
      </w:r>
      <w:r w:rsidRPr="000A5665">
        <w:rPr>
          <w:rFonts w:ascii="Calibri" w:hAnsi="Calibri"/>
          <w:sz w:val="24"/>
          <w:szCs w:val="24"/>
        </w:rPr>
        <w:t>country’</w:t>
      </w:r>
      <w:r w:rsidR="00DC1CE2" w:rsidRPr="000A5665">
        <w:rPr>
          <w:rFonts w:ascii="Calibri" w:hAnsi="Calibri"/>
          <w:sz w:val="24"/>
          <w:szCs w:val="24"/>
        </w:rPr>
        <w:t xml:space="preserve">s </w:t>
      </w:r>
      <w:r w:rsidRPr="000A5665">
        <w:rPr>
          <w:rFonts w:ascii="Calibri" w:hAnsi="Calibri"/>
          <w:sz w:val="24"/>
          <w:szCs w:val="24"/>
        </w:rPr>
        <w:t>fastes</w:t>
      </w:r>
      <w:r w:rsidR="00DC1CE2" w:rsidRPr="000A5665">
        <w:rPr>
          <w:rFonts w:ascii="Calibri" w:hAnsi="Calibri"/>
          <w:sz w:val="24"/>
          <w:szCs w:val="24"/>
        </w:rPr>
        <w:t xml:space="preserve">t </w:t>
      </w:r>
      <w:r w:rsidRPr="000A5665">
        <w:rPr>
          <w:rFonts w:ascii="Calibri" w:hAnsi="Calibri"/>
          <w:sz w:val="24"/>
          <w:szCs w:val="24"/>
        </w:rPr>
        <w:t>growin</w:t>
      </w:r>
      <w:r w:rsidR="00DC1CE2" w:rsidRPr="000A5665">
        <w:rPr>
          <w:rFonts w:ascii="Calibri" w:hAnsi="Calibri"/>
          <w:sz w:val="24"/>
          <w:szCs w:val="24"/>
        </w:rPr>
        <w:t xml:space="preserve">g </w:t>
      </w:r>
      <w:r w:rsidRPr="000A5665">
        <w:rPr>
          <w:rFonts w:ascii="Calibri" w:hAnsi="Calibri"/>
          <w:sz w:val="24"/>
          <w:szCs w:val="24"/>
        </w:rPr>
        <w:t>economi</w:t>
      </w:r>
      <w:r w:rsidR="00DC1CE2" w:rsidRPr="000A5665">
        <w:rPr>
          <w:rFonts w:ascii="Calibri" w:hAnsi="Calibri"/>
          <w:sz w:val="24"/>
          <w:szCs w:val="24"/>
        </w:rPr>
        <w:t xml:space="preserve">c </w:t>
      </w:r>
      <w:r w:rsidRPr="000A5665">
        <w:rPr>
          <w:rFonts w:ascii="Calibri" w:hAnsi="Calibri"/>
          <w:sz w:val="24"/>
          <w:szCs w:val="24"/>
        </w:rPr>
        <w:t>sectors</w:t>
      </w:r>
      <w:r w:rsidR="00DC1CE2" w:rsidRPr="000A5665">
        <w:rPr>
          <w:rFonts w:ascii="Calibri" w:hAnsi="Calibri"/>
          <w:sz w:val="24"/>
          <w:szCs w:val="24"/>
        </w:rPr>
        <w:t xml:space="preserve">, </w:t>
      </w:r>
      <w:r w:rsidRPr="000A5665">
        <w:rPr>
          <w:rFonts w:ascii="Calibri" w:hAnsi="Calibri"/>
          <w:sz w:val="24"/>
          <w:szCs w:val="24"/>
        </w:rPr>
        <w:t>th</w:t>
      </w:r>
      <w:r w:rsidR="00DC1CE2" w:rsidRPr="000A5665">
        <w:rPr>
          <w:rFonts w:ascii="Calibri" w:hAnsi="Calibri"/>
          <w:sz w:val="24"/>
          <w:szCs w:val="24"/>
        </w:rPr>
        <w:t xml:space="preserve">e </w:t>
      </w:r>
      <w:r w:rsidRPr="000A5665">
        <w:rPr>
          <w:rFonts w:ascii="Calibri" w:hAnsi="Calibri"/>
          <w:sz w:val="24"/>
          <w:szCs w:val="24"/>
        </w:rPr>
        <w:t>Australia</w:t>
      </w:r>
      <w:r w:rsidR="00DC1CE2" w:rsidRPr="000A5665">
        <w:rPr>
          <w:rFonts w:ascii="Calibri" w:hAnsi="Calibri"/>
          <w:sz w:val="24"/>
          <w:szCs w:val="24"/>
        </w:rPr>
        <w:t xml:space="preserve">n </w:t>
      </w:r>
      <w:r w:rsidRPr="000A5665">
        <w:rPr>
          <w:rFonts w:ascii="Calibri" w:hAnsi="Calibri"/>
          <w:sz w:val="24"/>
          <w:szCs w:val="24"/>
        </w:rPr>
        <w:t>Governmen</w:t>
      </w:r>
      <w:r w:rsidR="00DC1CE2" w:rsidRPr="000A5665">
        <w:rPr>
          <w:rFonts w:ascii="Calibri" w:hAnsi="Calibri"/>
          <w:sz w:val="24"/>
          <w:szCs w:val="24"/>
        </w:rPr>
        <w:t xml:space="preserve">t </w:t>
      </w:r>
      <w:r w:rsidRPr="000A5665">
        <w:rPr>
          <w:rFonts w:ascii="Calibri" w:hAnsi="Calibri"/>
          <w:sz w:val="24"/>
          <w:szCs w:val="24"/>
        </w:rPr>
        <w:t>i</w:t>
      </w:r>
      <w:r w:rsidR="00DC1CE2" w:rsidRPr="000A5665">
        <w:rPr>
          <w:rFonts w:ascii="Calibri" w:hAnsi="Calibri"/>
          <w:sz w:val="24"/>
          <w:szCs w:val="24"/>
        </w:rPr>
        <w:t xml:space="preserve">s </w:t>
      </w:r>
      <w:r w:rsidRPr="000A5665">
        <w:rPr>
          <w:rFonts w:ascii="Calibri" w:hAnsi="Calibri"/>
          <w:sz w:val="24"/>
          <w:szCs w:val="24"/>
        </w:rPr>
        <w:t>developin</w:t>
      </w:r>
      <w:r w:rsidR="00DC1CE2" w:rsidRPr="000A5665">
        <w:rPr>
          <w:rFonts w:ascii="Calibri" w:hAnsi="Calibri"/>
          <w:sz w:val="24"/>
          <w:szCs w:val="24"/>
        </w:rPr>
        <w:t xml:space="preserve">g a </w:t>
      </w:r>
      <w:r w:rsidRPr="000A5665">
        <w:rPr>
          <w:rFonts w:ascii="Calibri" w:hAnsi="Calibri"/>
          <w:sz w:val="24"/>
          <w:szCs w:val="24"/>
        </w:rPr>
        <w:t>nationa</w:t>
      </w:r>
      <w:r w:rsidR="00DC1CE2" w:rsidRPr="000A5665">
        <w:rPr>
          <w:rFonts w:ascii="Calibri" w:hAnsi="Calibri"/>
          <w:sz w:val="24"/>
          <w:szCs w:val="24"/>
        </w:rPr>
        <w:t xml:space="preserve">l </w:t>
      </w:r>
      <w:r w:rsidRPr="000A5665">
        <w:rPr>
          <w:rFonts w:ascii="Calibri" w:hAnsi="Calibri"/>
          <w:sz w:val="24"/>
          <w:szCs w:val="24"/>
        </w:rPr>
        <w:t>car</w:t>
      </w:r>
      <w:r w:rsidR="00DC1CE2" w:rsidRPr="000A5665">
        <w:rPr>
          <w:rFonts w:ascii="Calibri" w:hAnsi="Calibri"/>
          <w:sz w:val="24"/>
          <w:szCs w:val="24"/>
        </w:rPr>
        <w:t xml:space="preserve">e </w:t>
      </w:r>
      <w:r w:rsidRPr="000A5665">
        <w:rPr>
          <w:rFonts w:ascii="Calibri" w:hAnsi="Calibri"/>
          <w:sz w:val="24"/>
          <w:szCs w:val="24"/>
        </w:rPr>
        <w:t>an</w:t>
      </w:r>
      <w:r w:rsidR="00DC1CE2" w:rsidRPr="000A5665">
        <w:rPr>
          <w:rFonts w:ascii="Calibri" w:hAnsi="Calibri"/>
          <w:sz w:val="24"/>
          <w:szCs w:val="24"/>
        </w:rPr>
        <w:t xml:space="preserve">d </w:t>
      </w:r>
      <w:r w:rsidRPr="000A5665">
        <w:rPr>
          <w:rFonts w:ascii="Calibri" w:hAnsi="Calibri"/>
          <w:sz w:val="24"/>
          <w:szCs w:val="24"/>
        </w:rPr>
        <w:t>suppor</w:t>
      </w:r>
      <w:r w:rsidR="00DC1CE2" w:rsidRPr="000A5665">
        <w:rPr>
          <w:rFonts w:ascii="Calibri" w:hAnsi="Calibri"/>
          <w:sz w:val="24"/>
          <w:szCs w:val="24"/>
        </w:rPr>
        <w:t xml:space="preserve">t </w:t>
      </w:r>
      <w:r w:rsidRPr="000A5665">
        <w:rPr>
          <w:rFonts w:ascii="Calibri" w:hAnsi="Calibri"/>
          <w:sz w:val="24"/>
          <w:szCs w:val="24"/>
        </w:rPr>
        <w:t>econom</w:t>
      </w:r>
      <w:r w:rsidR="00DC1CE2" w:rsidRPr="000A5665">
        <w:rPr>
          <w:rFonts w:ascii="Calibri" w:hAnsi="Calibri"/>
          <w:sz w:val="24"/>
          <w:szCs w:val="24"/>
        </w:rPr>
        <w:t xml:space="preserve">y </w:t>
      </w:r>
      <w:r w:rsidRPr="000A5665">
        <w:rPr>
          <w:rFonts w:ascii="Calibri" w:hAnsi="Calibri"/>
          <w:sz w:val="24"/>
          <w:szCs w:val="24"/>
        </w:rPr>
        <w:t>strategy</w:t>
      </w:r>
      <w:r w:rsidR="00DC1CE2" w:rsidRPr="000A5665">
        <w:rPr>
          <w:rFonts w:ascii="Calibri" w:hAnsi="Calibri"/>
          <w:sz w:val="24"/>
          <w:szCs w:val="24"/>
        </w:rPr>
        <w:t xml:space="preserve">. </w:t>
      </w:r>
      <w:r w:rsidRPr="000A5665">
        <w:rPr>
          <w:rFonts w:ascii="Calibri" w:hAnsi="Calibri"/>
          <w:sz w:val="24"/>
          <w:szCs w:val="24"/>
        </w:rPr>
        <w:t>Th</w:t>
      </w:r>
      <w:r w:rsidR="00DC1CE2" w:rsidRPr="000A5665">
        <w:rPr>
          <w:rFonts w:ascii="Calibri" w:hAnsi="Calibri"/>
          <w:sz w:val="24"/>
          <w:szCs w:val="24"/>
        </w:rPr>
        <w:t xml:space="preserve">e </w:t>
      </w:r>
      <w:r w:rsidRPr="000A5665">
        <w:rPr>
          <w:rFonts w:ascii="Calibri" w:hAnsi="Calibri"/>
          <w:sz w:val="24"/>
          <w:szCs w:val="24"/>
        </w:rPr>
        <w:t>strategy’</w:t>
      </w:r>
      <w:r w:rsidR="00DC1CE2" w:rsidRPr="000A5665">
        <w:rPr>
          <w:rFonts w:ascii="Calibri" w:hAnsi="Calibri"/>
          <w:sz w:val="24"/>
          <w:szCs w:val="24"/>
        </w:rPr>
        <w:t xml:space="preserve">s </w:t>
      </w:r>
      <w:r w:rsidRPr="000A5665">
        <w:rPr>
          <w:rFonts w:ascii="Calibri" w:hAnsi="Calibri"/>
          <w:sz w:val="24"/>
          <w:szCs w:val="24"/>
        </w:rPr>
        <w:t>visio</w:t>
      </w:r>
      <w:r w:rsidR="00DC1CE2" w:rsidRPr="000A5665">
        <w:rPr>
          <w:rFonts w:ascii="Calibri" w:hAnsi="Calibri"/>
          <w:sz w:val="24"/>
          <w:szCs w:val="24"/>
        </w:rPr>
        <w:t xml:space="preserve">n </w:t>
      </w:r>
      <w:r w:rsidRPr="000A5665">
        <w:rPr>
          <w:rFonts w:ascii="Calibri" w:hAnsi="Calibri"/>
          <w:sz w:val="24"/>
          <w:szCs w:val="24"/>
        </w:rPr>
        <w:t>i</w:t>
      </w:r>
      <w:r w:rsidR="00DC1CE2" w:rsidRPr="000A5665">
        <w:rPr>
          <w:rFonts w:ascii="Calibri" w:hAnsi="Calibri"/>
          <w:sz w:val="24"/>
          <w:szCs w:val="24"/>
        </w:rPr>
        <w:t xml:space="preserve">s </w:t>
      </w:r>
      <w:r w:rsidRPr="000A5665">
        <w:rPr>
          <w:rFonts w:ascii="Calibri" w:hAnsi="Calibri"/>
          <w:sz w:val="24"/>
          <w:szCs w:val="24"/>
        </w:rPr>
        <w:t>t</w:t>
      </w:r>
      <w:r w:rsidR="00DC1CE2" w:rsidRPr="000A5665">
        <w:rPr>
          <w:rFonts w:ascii="Calibri" w:hAnsi="Calibri"/>
          <w:sz w:val="24"/>
          <w:szCs w:val="24"/>
        </w:rPr>
        <w:t xml:space="preserve">o </w:t>
      </w:r>
      <w:r w:rsidRPr="000A5665">
        <w:rPr>
          <w:rFonts w:ascii="Calibri" w:hAnsi="Calibri"/>
          <w:sz w:val="24"/>
          <w:szCs w:val="24"/>
        </w:rPr>
        <w:t>develo</w:t>
      </w:r>
      <w:r w:rsidR="00DC1CE2" w:rsidRPr="000A5665">
        <w:rPr>
          <w:rFonts w:ascii="Calibri" w:hAnsi="Calibri"/>
          <w:sz w:val="24"/>
          <w:szCs w:val="24"/>
        </w:rPr>
        <w:t xml:space="preserve">p a </w:t>
      </w:r>
      <w:r w:rsidRPr="000A5665">
        <w:rPr>
          <w:rFonts w:ascii="Calibri" w:hAnsi="Calibri"/>
          <w:sz w:val="24"/>
          <w:szCs w:val="24"/>
        </w:rPr>
        <w:t>‘sustainabl</w:t>
      </w:r>
      <w:r w:rsidR="00DC1CE2" w:rsidRPr="000A5665">
        <w:rPr>
          <w:rFonts w:ascii="Calibri" w:hAnsi="Calibri"/>
          <w:sz w:val="24"/>
          <w:szCs w:val="24"/>
        </w:rPr>
        <w:t xml:space="preserve">e </w:t>
      </w:r>
      <w:r w:rsidRPr="000A5665">
        <w:rPr>
          <w:rFonts w:ascii="Calibri" w:hAnsi="Calibri"/>
          <w:sz w:val="24"/>
          <w:szCs w:val="24"/>
        </w:rPr>
        <w:t>an</w:t>
      </w:r>
      <w:r w:rsidR="00DC1CE2" w:rsidRPr="000A5665">
        <w:rPr>
          <w:rFonts w:ascii="Calibri" w:hAnsi="Calibri"/>
          <w:sz w:val="24"/>
          <w:szCs w:val="24"/>
        </w:rPr>
        <w:t xml:space="preserve">d </w:t>
      </w:r>
      <w:r w:rsidRPr="000A5665">
        <w:rPr>
          <w:rFonts w:ascii="Calibri" w:hAnsi="Calibri"/>
          <w:sz w:val="24"/>
          <w:szCs w:val="24"/>
        </w:rPr>
        <w:t>productiv</w:t>
      </w:r>
      <w:r w:rsidR="00DC1CE2" w:rsidRPr="000A5665">
        <w:rPr>
          <w:rFonts w:ascii="Calibri" w:hAnsi="Calibri"/>
          <w:sz w:val="24"/>
          <w:szCs w:val="24"/>
        </w:rPr>
        <w:t xml:space="preserve">e </w:t>
      </w:r>
      <w:r w:rsidRPr="000A5665">
        <w:rPr>
          <w:rFonts w:ascii="Calibri" w:hAnsi="Calibri"/>
          <w:sz w:val="24"/>
          <w:szCs w:val="24"/>
        </w:rPr>
        <w:t>car</w:t>
      </w:r>
      <w:r w:rsidR="00DC1CE2" w:rsidRPr="000A5665">
        <w:rPr>
          <w:rFonts w:ascii="Calibri" w:hAnsi="Calibri"/>
          <w:sz w:val="24"/>
          <w:szCs w:val="24"/>
        </w:rPr>
        <w:t xml:space="preserve">e </w:t>
      </w:r>
      <w:r w:rsidRPr="000A5665">
        <w:rPr>
          <w:rFonts w:ascii="Calibri" w:hAnsi="Calibri"/>
          <w:sz w:val="24"/>
          <w:szCs w:val="24"/>
        </w:rPr>
        <w:t>an</w:t>
      </w:r>
      <w:r w:rsidR="00DC1CE2" w:rsidRPr="000A5665">
        <w:rPr>
          <w:rFonts w:ascii="Calibri" w:hAnsi="Calibri"/>
          <w:sz w:val="24"/>
          <w:szCs w:val="24"/>
        </w:rPr>
        <w:t xml:space="preserve">d </w:t>
      </w:r>
      <w:r w:rsidRPr="000A5665">
        <w:rPr>
          <w:rFonts w:ascii="Calibri" w:hAnsi="Calibri"/>
          <w:sz w:val="24"/>
          <w:szCs w:val="24"/>
        </w:rPr>
        <w:t>suppor</w:t>
      </w:r>
      <w:r w:rsidR="00DC1CE2" w:rsidRPr="000A5665">
        <w:rPr>
          <w:rFonts w:ascii="Calibri" w:hAnsi="Calibri"/>
          <w:sz w:val="24"/>
          <w:szCs w:val="24"/>
        </w:rPr>
        <w:t xml:space="preserve">t </w:t>
      </w:r>
      <w:r w:rsidRPr="000A5665">
        <w:rPr>
          <w:rFonts w:ascii="Calibri" w:hAnsi="Calibri"/>
          <w:sz w:val="24"/>
          <w:szCs w:val="24"/>
        </w:rPr>
        <w:t>econom</w:t>
      </w:r>
      <w:r w:rsidR="00DC1CE2" w:rsidRPr="000A5665">
        <w:rPr>
          <w:rFonts w:ascii="Calibri" w:hAnsi="Calibri"/>
          <w:sz w:val="24"/>
          <w:szCs w:val="24"/>
        </w:rPr>
        <w:t xml:space="preserve">y </w:t>
      </w:r>
      <w:r w:rsidRPr="000A5665">
        <w:rPr>
          <w:rFonts w:ascii="Calibri" w:hAnsi="Calibri"/>
          <w:sz w:val="24"/>
          <w:szCs w:val="24"/>
        </w:rPr>
        <w:t>tha</w:t>
      </w:r>
      <w:r w:rsidR="00DC1CE2" w:rsidRPr="000A5665">
        <w:rPr>
          <w:rFonts w:ascii="Calibri" w:hAnsi="Calibri"/>
          <w:sz w:val="24"/>
          <w:szCs w:val="24"/>
        </w:rPr>
        <w:t xml:space="preserve">t </w:t>
      </w:r>
      <w:r w:rsidRPr="000A5665">
        <w:rPr>
          <w:rFonts w:ascii="Calibri" w:hAnsi="Calibri"/>
          <w:sz w:val="24"/>
          <w:szCs w:val="24"/>
        </w:rPr>
        <w:t>deliver</w:t>
      </w:r>
      <w:r w:rsidR="00DC1CE2" w:rsidRPr="000A5665">
        <w:rPr>
          <w:rFonts w:ascii="Calibri" w:hAnsi="Calibri"/>
          <w:sz w:val="24"/>
          <w:szCs w:val="24"/>
        </w:rPr>
        <w:t xml:space="preserve">s </w:t>
      </w:r>
      <w:r w:rsidRPr="000A5665">
        <w:rPr>
          <w:rFonts w:ascii="Calibri" w:hAnsi="Calibri"/>
          <w:sz w:val="24"/>
          <w:szCs w:val="24"/>
        </w:rPr>
        <w:t>qualit</w:t>
      </w:r>
      <w:r w:rsidR="00DC1CE2" w:rsidRPr="000A5665">
        <w:rPr>
          <w:rFonts w:ascii="Calibri" w:hAnsi="Calibri"/>
          <w:sz w:val="24"/>
          <w:szCs w:val="24"/>
        </w:rPr>
        <w:t xml:space="preserve">y </w:t>
      </w:r>
      <w:r w:rsidRPr="000A5665">
        <w:rPr>
          <w:rFonts w:ascii="Calibri" w:hAnsi="Calibri"/>
          <w:sz w:val="24"/>
          <w:szCs w:val="24"/>
        </w:rPr>
        <w:t>car</w:t>
      </w:r>
      <w:r w:rsidR="00DC1CE2" w:rsidRPr="000A5665">
        <w:rPr>
          <w:rFonts w:ascii="Calibri" w:hAnsi="Calibri"/>
          <w:sz w:val="24"/>
          <w:szCs w:val="24"/>
        </w:rPr>
        <w:t xml:space="preserve">e </w:t>
      </w:r>
      <w:r w:rsidRPr="000A5665">
        <w:rPr>
          <w:rFonts w:ascii="Calibri" w:hAnsi="Calibri"/>
          <w:sz w:val="24"/>
          <w:szCs w:val="24"/>
        </w:rPr>
        <w:t>an</w:t>
      </w:r>
      <w:r w:rsidR="00DC1CE2" w:rsidRPr="000A5665">
        <w:rPr>
          <w:rFonts w:ascii="Calibri" w:hAnsi="Calibri"/>
          <w:sz w:val="24"/>
          <w:szCs w:val="24"/>
        </w:rPr>
        <w:t xml:space="preserve">d </w:t>
      </w:r>
      <w:r w:rsidRPr="000A5665">
        <w:rPr>
          <w:rFonts w:ascii="Calibri" w:hAnsi="Calibri"/>
          <w:sz w:val="24"/>
          <w:szCs w:val="24"/>
        </w:rPr>
        <w:t>suppor</w:t>
      </w:r>
      <w:r w:rsidR="00DC1CE2" w:rsidRPr="000A5665">
        <w:rPr>
          <w:rFonts w:ascii="Calibri" w:hAnsi="Calibri"/>
          <w:sz w:val="24"/>
          <w:szCs w:val="24"/>
        </w:rPr>
        <w:t xml:space="preserve">t </w:t>
      </w:r>
      <w:r w:rsidRPr="000A5665">
        <w:rPr>
          <w:rFonts w:ascii="Calibri" w:hAnsi="Calibri"/>
          <w:sz w:val="24"/>
          <w:szCs w:val="24"/>
        </w:rPr>
        <w:t>wit</w:t>
      </w:r>
      <w:r w:rsidR="00DC1CE2" w:rsidRPr="000A5665">
        <w:rPr>
          <w:rFonts w:ascii="Calibri" w:hAnsi="Calibri"/>
          <w:sz w:val="24"/>
          <w:szCs w:val="24"/>
        </w:rPr>
        <w:t xml:space="preserve">h </w:t>
      </w:r>
      <w:r w:rsidRPr="000A5665">
        <w:rPr>
          <w:rFonts w:ascii="Calibri" w:hAnsi="Calibri"/>
          <w:sz w:val="24"/>
          <w:szCs w:val="24"/>
        </w:rPr>
        <w:t>decen</w:t>
      </w:r>
      <w:r w:rsidR="00DC1CE2" w:rsidRPr="000A5665">
        <w:rPr>
          <w:rFonts w:ascii="Calibri" w:hAnsi="Calibri"/>
          <w:sz w:val="24"/>
          <w:szCs w:val="24"/>
        </w:rPr>
        <w:t xml:space="preserve">t </w:t>
      </w:r>
      <w:r w:rsidRPr="000A5665">
        <w:rPr>
          <w:rFonts w:ascii="Calibri" w:hAnsi="Calibri"/>
          <w:sz w:val="24"/>
          <w:szCs w:val="24"/>
        </w:rPr>
        <w:t>jobs</w:t>
      </w:r>
      <w:r w:rsidR="00DC1CE2" w:rsidRPr="000A5665">
        <w:rPr>
          <w:rFonts w:ascii="Calibri" w:hAnsi="Calibri"/>
          <w:sz w:val="24"/>
          <w:szCs w:val="24"/>
        </w:rPr>
        <w:t xml:space="preserve">. </w:t>
      </w:r>
      <w:r w:rsidRPr="000A5665">
        <w:rPr>
          <w:rFonts w:ascii="Calibri" w:hAnsi="Calibri"/>
          <w:sz w:val="24"/>
          <w:szCs w:val="24"/>
        </w:rPr>
        <w:t>Th</w:t>
      </w:r>
      <w:r w:rsidR="00DC1CE2" w:rsidRPr="000A5665">
        <w:rPr>
          <w:rFonts w:ascii="Calibri" w:hAnsi="Calibri"/>
          <w:sz w:val="24"/>
          <w:szCs w:val="24"/>
        </w:rPr>
        <w:t xml:space="preserve">e </w:t>
      </w:r>
      <w:r w:rsidRPr="000A5665">
        <w:rPr>
          <w:rFonts w:ascii="Calibri" w:hAnsi="Calibri"/>
          <w:sz w:val="24"/>
          <w:szCs w:val="24"/>
        </w:rPr>
        <w:t>strategy’</w:t>
      </w:r>
      <w:r w:rsidR="00DC1CE2" w:rsidRPr="000A5665">
        <w:rPr>
          <w:rFonts w:ascii="Calibri" w:hAnsi="Calibri"/>
          <w:sz w:val="24"/>
          <w:szCs w:val="24"/>
        </w:rPr>
        <w:t xml:space="preserve">s </w:t>
      </w:r>
      <w:r w:rsidRPr="000A5665">
        <w:rPr>
          <w:rFonts w:ascii="Calibri" w:hAnsi="Calibri"/>
          <w:sz w:val="24"/>
          <w:szCs w:val="24"/>
        </w:rPr>
        <w:t>objective</w:t>
      </w:r>
      <w:r w:rsidR="00DC1CE2" w:rsidRPr="000A5665">
        <w:rPr>
          <w:rFonts w:ascii="Calibri" w:hAnsi="Calibri"/>
          <w:sz w:val="24"/>
          <w:szCs w:val="24"/>
        </w:rPr>
        <w:t xml:space="preserve">s </w:t>
      </w:r>
      <w:r w:rsidRPr="000A5665">
        <w:rPr>
          <w:rFonts w:ascii="Calibri" w:hAnsi="Calibri"/>
          <w:sz w:val="24"/>
          <w:szCs w:val="24"/>
        </w:rPr>
        <w:t>includ</w:t>
      </w:r>
      <w:r w:rsidR="00DC1CE2" w:rsidRPr="000A5665">
        <w:rPr>
          <w:rFonts w:ascii="Calibri" w:hAnsi="Calibri"/>
          <w:sz w:val="24"/>
          <w:szCs w:val="24"/>
        </w:rPr>
        <w:t xml:space="preserve">e </w:t>
      </w:r>
      <w:r w:rsidRPr="000A5665">
        <w:rPr>
          <w:rFonts w:ascii="Calibri" w:hAnsi="Calibri"/>
          <w:sz w:val="24"/>
          <w:szCs w:val="24"/>
        </w:rPr>
        <w:t>ensurin</w:t>
      </w:r>
      <w:r w:rsidR="00DC1CE2" w:rsidRPr="000A5665">
        <w:rPr>
          <w:rFonts w:ascii="Calibri" w:hAnsi="Calibri"/>
          <w:sz w:val="24"/>
          <w:szCs w:val="24"/>
        </w:rPr>
        <w:t xml:space="preserve">g </w:t>
      </w:r>
      <w:r w:rsidRPr="000A5665">
        <w:rPr>
          <w:rFonts w:ascii="Calibri" w:hAnsi="Calibri"/>
          <w:sz w:val="24"/>
          <w:szCs w:val="24"/>
        </w:rPr>
        <w:t>th</w:t>
      </w:r>
      <w:r w:rsidR="00DC1CE2" w:rsidRPr="000A5665">
        <w:rPr>
          <w:rFonts w:ascii="Calibri" w:hAnsi="Calibri"/>
          <w:sz w:val="24"/>
          <w:szCs w:val="24"/>
        </w:rPr>
        <w:t xml:space="preserve">e </w:t>
      </w:r>
      <w:r w:rsidRPr="000A5665">
        <w:rPr>
          <w:rFonts w:ascii="Calibri" w:hAnsi="Calibri"/>
          <w:sz w:val="24"/>
          <w:szCs w:val="24"/>
        </w:rPr>
        <w:t>secto</w:t>
      </w:r>
      <w:r w:rsidR="00DC1CE2" w:rsidRPr="000A5665">
        <w:rPr>
          <w:rFonts w:ascii="Calibri" w:hAnsi="Calibri"/>
          <w:sz w:val="24"/>
          <w:szCs w:val="24"/>
        </w:rPr>
        <w:t xml:space="preserve">r </w:t>
      </w:r>
      <w:r w:rsidRPr="000A5665">
        <w:rPr>
          <w:rFonts w:ascii="Calibri" w:hAnsi="Calibri"/>
          <w:sz w:val="24"/>
          <w:szCs w:val="24"/>
        </w:rPr>
        <w:t>ha</w:t>
      </w:r>
      <w:r w:rsidR="00DC1CE2" w:rsidRPr="000A5665">
        <w:rPr>
          <w:rFonts w:ascii="Calibri" w:hAnsi="Calibri"/>
          <w:sz w:val="24"/>
          <w:szCs w:val="24"/>
        </w:rPr>
        <w:t xml:space="preserve">s </w:t>
      </w:r>
      <w:r w:rsidRPr="000A5665">
        <w:rPr>
          <w:rFonts w:ascii="Calibri" w:hAnsi="Calibri"/>
          <w:sz w:val="24"/>
          <w:szCs w:val="24"/>
        </w:rPr>
        <w:t>th</w:t>
      </w:r>
      <w:r w:rsidR="00DC1CE2" w:rsidRPr="000A5665">
        <w:rPr>
          <w:rFonts w:ascii="Calibri" w:hAnsi="Calibri"/>
          <w:sz w:val="24"/>
          <w:szCs w:val="24"/>
        </w:rPr>
        <w:t xml:space="preserve">e </w:t>
      </w:r>
      <w:r w:rsidRPr="000A5665">
        <w:rPr>
          <w:rFonts w:ascii="Calibri" w:hAnsi="Calibri"/>
          <w:sz w:val="24"/>
          <w:szCs w:val="24"/>
        </w:rPr>
        <w:t>righ</w:t>
      </w:r>
      <w:r w:rsidR="00DC1CE2" w:rsidRPr="000A5665">
        <w:rPr>
          <w:rFonts w:ascii="Calibri" w:hAnsi="Calibri"/>
          <w:sz w:val="24"/>
          <w:szCs w:val="24"/>
        </w:rPr>
        <w:t xml:space="preserve">t </w:t>
      </w:r>
      <w:r w:rsidRPr="000A5665">
        <w:rPr>
          <w:rFonts w:ascii="Calibri" w:hAnsi="Calibri"/>
          <w:sz w:val="24"/>
          <w:szCs w:val="24"/>
        </w:rPr>
        <w:t>skill</w:t>
      </w:r>
      <w:r w:rsidR="00DC1CE2" w:rsidRPr="000A5665">
        <w:rPr>
          <w:rFonts w:ascii="Calibri" w:hAnsi="Calibri"/>
          <w:sz w:val="24"/>
          <w:szCs w:val="24"/>
        </w:rPr>
        <w:t xml:space="preserve">s </w:t>
      </w:r>
      <w:r w:rsidRPr="000A5665">
        <w:rPr>
          <w:rFonts w:ascii="Calibri" w:hAnsi="Calibri"/>
          <w:sz w:val="24"/>
          <w:szCs w:val="24"/>
        </w:rPr>
        <w:t>an</w:t>
      </w:r>
      <w:r w:rsidR="00DC1CE2" w:rsidRPr="000A5665">
        <w:rPr>
          <w:rFonts w:ascii="Calibri" w:hAnsi="Calibri"/>
          <w:sz w:val="24"/>
          <w:szCs w:val="24"/>
        </w:rPr>
        <w:t xml:space="preserve">d </w:t>
      </w:r>
      <w:r w:rsidRPr="000A5665">
        <w:rPr>
          <w:rFonts w:ascii="Calibri" w:hAnsi="Calibri"/>
          <w:sz w:val="24"/>
          <w:szCs w:val="24"/>
        </w:rPr>
        <w:t>trainin</w:t>
      </w:r>
      <w:r w:rsidR="00DC1CE2" w:rsidRPr="000A5665">
        <w:rPr>
          <w:rFonts w:ascii="Calibri" w:hAnsi="Calibri"/>
          <w:sz w:val="24"/>
          <w:szCs w:val="24"/>
        </w:rPr>
        <w:t xml:space="preserve">g </w:t>
      </w:r>
      <w:r w:rsidRPr="000A5665">
        <w:rPr>
          <w:rFonts w:ascii="Calibri" w:hAnsi="Calibri"/>
          <w:sz w:val="24"/>
          <w:szCs w:val="24"/>
        </w:rPr>
        <w:t>t</w:t>
      </w:r>
      <w:r w:rsidR="00DC1CE2" w:rsidRPr="000A5665">
        <w:rPr>
          <w:rFonts w:ascii="Calibri" w:hAnsi="Calibri"/>
          <w:sz w:val="24"/>
          <w:szCs w:val="24"/>
        </w:rPr>
        <w:t xml:space="preserve">o </w:t>
      </w:r>
      <w:r w:rsidRPr="000A5665">
        <w:rPr>
          <w:rFonts w:ascii="Calibri" w:hAnsi="Calibri"/>
          <w:sz w:val="24"/>
          <w:szCs w:val="24"/>
        </w:rPr>
        <w:t>delive</w:t>
      </w:r>
      <w:r w:rsidR="00DC1CE2" w:rsidRPr="000A5665">
        <w:rPr>
          <w:rFonts w:ascii="Calibri" w:hAnsi="Calibri"/>
          <w:sz w:val="24"/>
          <w:szCs w:val="24"/>
        </w:rPr>
        <w:t xml:space="preserve">r </w:t>
      </w:r>
      <w:r w:rsidRPr="000A5665">
        <w:rPr>
          <w:rFonts w:ascii="Calibri" w:hAnsi="Calibri"/>
          <w:sz w:val="24"/>
          <w:szCs w:val="24"/>
        </w:rPr>
        <w:t>qualit</w:t>
      </w:r>
      <w:r w:rsidR="00DC1CE2" w:rsidRPr="000A5665">
        <w:rPr>
          <w:rFonts w:ascii="Calibri" w:hAnsi="Calibri"/>
          <w:sz w:val="24"/>
          <w:szCs w:val="24"/>
        </w:rPr>
        <w:t xml:space="preserve">y </w:t>
      </w:r>
      <w:r w:rsidRPr="000A5665">
        <w:rPr>
          <w:rFonts w:ascii="Calibri" w:hAnsi="Calibri"/>
          <w:sz w:val="24"/>
          <w:szCs w:val="24"/>
        </w:rPr>
        <w:t>care</w:t>
      </w:r>
      <w:r w:rsidR="00DC1CE2" w:rsidRPr="000A5665">
        <w:rPr>
          <w:rFonts w:ascii="Calibri" w:hAnsi="Calibri"/>
          <w:sz w:val="24"/>
          <w:szCs w:val="24"/>
        </w:rPr>
        <w:t xml:space="preserve">, </w:t>
      </w:r>
      <w:r w:rsidRPr="000A5665">
        <w:rPr>
          <w:rFonts w:ascii="Calibri" w:hAnsi="Calibri"/>
          <w:sz w:val="24"/>
          <w:szCs w:val="24"/>
        </w:rPr>
        <w:t>workforc</w:t>
      </w:r>
      <w:r w:rsidR="00DC1CE2" w:rsidRPr="000A5665">
        <w:rPr>
          <w:rFonts w:ascii="Calibri" w:hAnsi="Calibri"/>
          <w:sz w:val="24"/>
          <w:szCs w:val="24"/>
        </w:rPr>
        <w:t xml:space="preserve">e </w:t>
      </w:r>
      <w:r w:rsidRPr="000A5665">
        <w:rPr>
          <w:rFonts w:ascii="Calibri" w:hAnsi="Calibri"/>
          <w:sz w:val="24"/>
          <w:szCs w:val="24"/>
        </w:rPr>
        <w:t>suppl</w:t>
      </w:r>
      <w:r w:rsidR="00DC1CE2" w:rsidRPr="000A5665">
        <w:rPr>
          <w:rFonts w:ascii="Calibri" w:hAnsi="Calibri"/>
          <w:sz w:val="24"/>
          <w:szCs w:val="24"/>
        </w:rPr>
        <w:t xml:space="preserve">y </w:t>
      </w:r>
      <w:r w:rsidRPr="000A5665">
        <w:rPr>
          <w:rFonts w:ascii="Calibri" w:hAnsi="Calibri"/>
          <w:sz w:val="24"/>
          <w:szCs w:val="24"/>
        </w:rPr>
        <w:t>meet</w:t>
      </w:r>
      <w:r w:rsidR="00DC1CE2" w:rsidRPr="000A5665">
        <w:rPr>
          <w:rFonts w:ascii="Calibri" w:hAnsi="Calibri"/>
          <w:sz w:val="24"/>
          <w:szCs w:val="24"/>
        </w:rPr>
        <w:t xml:space="preserve">s </w:t>
      </w:r>
      <w:r w:rsidRPr="000A5665">
        <w:rPr>
          <w:rFonts w:ascii="Calibri" w:hAnsi="Calibri"/>
          <w:sz w:val="24"/>
          <w:szCs w:val="24"/>
        </w:rPr>
        <w:t>demand</w:t>
      </w:r>
      <w:r w:rsidR="00DC1CE2" w:rsidRPr="000A5665">
        <w:rPr>
          <w:rFonts w:ascii="Calibri" w:hAnsi="Calibri"/>
          <w:sz w:val="24"/>
          <w:szCs w:val="24"/>
        </w:rPr>
        <w:t xml:space="preserve">, </w:t>
      </w:r>
      <w:r w:rsidRPr="000A5665">
        <w:rPr>
          <w:rFonts w:ascii="Calibri" w:hAnsi="Calibri"/>
          <w:sz w:val="24"/>
          <w:szCs w:val="24"/>
        </w:rPr>
        <w:t>job</w:t>
      </w:r>
      <w:r w:rsidR="00DC1CE2" w:rsidRPr="000A5665">
        <w:rPr>
          <w:rFonts w:ascii="Calibri" w:hAnsi="Calibri"/>
          <w:sz w:val="24"/>
          <w:szCs w:val="24"/>
        </w:rPr>
        <w:t xml:space="preserve">s </w:t>
      </w:r>
      <w:r w:rsidRPr="000A5665">
        <w:rPr>
          <w:rFonts w:ascii="Calibri" w:hAnsi="Calibri"/>
          <w:sz w:val="24"/>
          <w:szCs w:val="24"/>
        </w:rPr>
        <w:t>ar</w:t>
      </w:r>
      <w:r w:rsidR="00DC1CE2" w:rsidRPr="000A5665">
        <w:rPr>
          <w:rFonts w:ascii="Calibri" w:hAnsi="Calibri"/>
          <w:sz w:val="24"/>
          <w:szCs w:val="24"/>
        </w:rPr>
        <w:t xml:space="preserve">e </w:t>
      </w:r>
      <w:r w:rsidRPr="000A5665">
        <w:rPr>
          <w:rFonts w:ascii="Calibri" w:hAnsi="Calibri"/>
          <w:sz w:val="24"/>
          <w:szCs w:val="24"/>
        </w:rPr>
        <w:t>professionalised</w:t>
      </w:r>
      <w:r w:rsidR="00DC1CE2" w:rsidRPr="000A5665">
        <w:rPr>
          <w:rFonts w:ascii="Calibri" w:hAnsi="Calibri"/>
          <w:sz w:val="24"/>
          <w:szCs w:val="24"/>
        </w:rPr>
        <w:t xml:space="preserve">, </w:t>
      </w:r>
      <w:r w:rsidRPr="000A5665">
        <w:rPr>
          <w:rFonts w:ascii="Calibri" w:hAnsi="Calibri"/>
          <w:sz w:val="24"/>
          <w:szCs w:val="24"/>
        </w:rPr>
        <w:t>an</w:t>
      </w:r>
      <w:r w:rsidR="00DC1CE2" w:rsidRPr="000A5665">
        <w:rPr>
          <w:rFonts w:ascii="Calibri" w:hAnsi="Calibri"/>
          <w:sz w:val="24"/>
          <w:szCs w:val="24"/>
        </w:rPr>
        <w:t xml:space="preserve">d </w:t>
      </w:r>
      <w:r w:rsidRPr="000A5665">
        <w:rPr>
          <w:rFonts w:ascii="Calibri" w:hAnsi="Calibri"/>
          <w:sz w:val="24"/>
          <w:szCs w:val="24"/>
        </w:rPr>
        <w:t>ther</w:t>
      </w:r>
      <w:r w:rsidR="00DC1CE2" w:rsidRPr="000A5665">
        <w:rPr>
          <w:rFonts w:ascii="Calibri" w:hAnsi="Calibri"/>
          <w:sz w:val="24"/>
          <w:szCs w:val="24"/>
        </w:rPr>
        <w:t xml:space="preserve">e </w:t>
      </w:r>
      <w:r w:rsidRPr="000A5665">
        <w:rPr>
          <w:rFonts w:ascii="Calibri" w:hAnsi="Calibri"/>
          <w:sz w:val="24"/>
          <w:szCs w:val="24"/>
        </w:rPr>
        <w:t>ar</w:t>
      </w:r>
      <w:r w:rsidR="00DC1CE2" w:rsidRPr="000A5665">
        <w:rPr>
          <w:rFonts w:ascii="Calibri" w:hAnsi="Calibri"/>
          <w:sz w:val="24"/>
          <w:szCs w:val="24"/>
        </w:rPr>
        <w:t xml:space="preserve">e </w:t>
      </w:r>
      <w:r w:rsidRPr="000A5665">
        <w:rPr>
          <w:rFonts w:ascii="Calibri" w:hAnsi="Calibri"/>
          <w:sz w:val="24"/>
          <w:szCs w:val="24"/>
        </w:rPr>
        <w:t>pathway</w:t>
      </w:r>
      <w:r w:rsidR="00DC1CE2" w:rsidRPr="000A5665">
        <w:rPr>
          <w:rFonts w:ascii="Calibri" w:hAnsi="Calibri"/>
          <w:sz w:val="24"/>
          <w:szCs w:val="24"/>
        </w:rPr>
        <w:t xml:space="preserve">s </w:t>
      </w:r>
      <w:r w:rsidRPr="000A5665">
        <w:rPr>
          <w:rFonts w:ascii="Calibri" w:hAnsi="Calibri"/>
          <w:sz w:val="24"/>
          <w:szCs w:val="24"/>
        </w:rPr>
        <w:t>fo</w:t>
      </w:r>
      <w:r w:rsidR="00DC1CE2" w:rsidRPr="000A5665">
        <w:rPr>
          <w:rFonts w:ascii="Calibri" w:hAnsi="Calibri"/>
          <w:sz w:val="24"/>
          <w:szCs w:val="24"/>
        </w:rPr>
        <w:t xml:space="preserve">r </w:t>
      </w:r>
      <w:r w:rsidRPr="000A5665">
        <w:rPr>
          <w:rFonts w:ascii="Calibri" w:hAnsi="Calibri"/>
          <w:sz w:val="24"/>
          <w:szCs w:val="24"/>
        </w:rPr>
        <w:t>skillin</w:t>
      </w:r>
      <w:r w:rsidR="00DC1CE2" w:rsidRPr="000A5665">
        <w:rPr>
          <w:rFonts w:ascii="Calibri" w:hAnsi="Calibri"/>
          <w:sz w:val="24"/>
          <w:szCs w:val="24"/>
        </w:rPr>
        <w:t xml:space="preserve">g </w:t>
      </w:r>
      <w:r w:rsidRPr="000A5665">
        <w:rPr>
          <w:rFonts w:ascii="Calibri" w:hAnsi="Calibri"/>
          <w:sz w:val="24"/>
          <w:szCs w:val="24"/>
        </w:rPr>
        <w:t>an</w:t>
      </w:r>
      <w:r w:rsidR="00DC1CE2" w:rsidRPr="000A5665">
        <w:rPr>
          <w:rFonts w:ascii="Calibri" w:hAnsi="Calibri"/>
          <w:sz w:val="24"/>
          <w:szCs w:val="24"/>
        </w:rPr>
        <w:t xml:space="preserve">d </w:t>
      </w:r>
      <w:r w:rsidRPr="000A5665">
        <w:rPr>
          <w:rFonts w:ascii="Calibri" w:hAnsi="Calibri"/>
          <w:sz w:val="24"/>
          <w:szCs w:val="24"/>
        </w:rPr>
        <w:t>caree</w:t>
      </w:r>
      <w:r w:rsidR="00DC1CE2" w:rsidRPr="000A5665">
        <w:rPr>
          <w:rFonts w:ascii="Calibri" w:hAnsi="Calibri"/>
          <w:sz w:val="24"/>
          <w:szCs w:val="24"/>
        </w:rPr>
        <w:t xml:space="preserve">r </w:t>
      </w:r>
      <w:r w:rsidRPr="000A5665">
        <w:rPr>
          <w:rFonts w:ascii="Calibri" w:hAnsi="Calibri"/>
          <w:sz w:val="24"/>
          <w:szCs w:val="24"/>
        </w:rPr>
        <w:t>progression</w:t>
      </w:r>
      <w:r w:rsidR="00DC1CE2" w:rsidRPr="000A5665">
        <w:rPr>
          <w:rFonts w:ascii="Calibri" w:hAnsi="Calibri"/>
          <w:sz w:val="24"/>
          <w:szCs w:val="24"/>
        </w:rPr>
        <w:t xml:space="preserve">. </w:t>
      </w:r>
    </w:p>
    <w:p w14:paraId="26EA2BCB" w14:textId="129A69DE" w:rsidR="00B4453F" w:rsidRPr="000A5665" w:rsidRDefault="00B4453F" w:rsidP="000A5665">
      <w:pPr>
        <w:pStyle w:val="BodyText"/>
        <w:spacing w:before="0" w:after="160" w:line="312" w:lineRule="auto"/>
        <w:rPr>
          <w:rFonts w:ascii="Calibri" w:hAnsi="Calibri"/>
          <w:sz w:val="24"/>
          <w:szCs w:val="24"/>
        </w:rPr>
      </w:pPr>
      <w:r w:rsidRPr="000A5665">
        <w:rPr>
          <w:rFonts w:ascii="Calibri" w:hAnsi="Calibri"/>
          <w:sz w:val="24"/>
          <w:szCs w:val="24"/>
        </w:rPr>
        <w:t>Individual</w:t>
      </w:r>
      <w:r w:rsidR="00DC1CE2" w:rsidRPr="000A5665">
        <w:rPr>
          <w:rFonts w:ascii="Calibri" w:hAnsi="Calibri"/>
          <w:sz w:val="24"/>
          <w:szCs w:val="24"/>
        </w:rPr>
        <w:t xml:space="preserve">s </w:t>
      </w:r>
      <w:r w:rsidRPr="000A5665">
        <w:rPr>
          <w:rFonts w:ascii="Calibri" w:hAnsi="Calibri"/>
          <w:sz w:val="24"/>
          <w:szCs w:val="24"/>
        </w:rPr>
        <w:t>workin</w:t>
      </w:r>
      <w:r w:rsidR="00DC1CE2" w:rsidRPr="000A5665">
        <w:rPr>
          <w:rFonts w:ascii="Calibri" w:hAnsi="Calibri"/>
          <w:sz w:val="24"/>
          <w:szCs w:val="24"/>
        </w:rPr>
        <w:t xml:space="preserve">g </w:t>
      </w:r>
      <w:r w:rsidRPr="000A5665">
        <w:rPr>
          <w:rFonts w:ascii="Calibri" w:hAnsi="Calibri"/>
          <w:sz w:val="24"/>
          <w:szCs w:val="24"/>
        </w:rPr>
        <w:t>i</w:t>
      </w:r>
      <w:r w:rsidR="00DC1CE2" w:rsidRPr="000A5665">
        <w:rPr>
          <w:rFonts w:ascii="Calibri" w:hAnsi="Calibri"/>
          <w:sz w:val="24"/>
          <w:szCs w:val="24"/>
        </w:rPr>
        <w:t xml:space="preserve">n </w:t>
      </w:r>
      <w:r w:rsidRPr="000A5665">
        <w:rPr>
          <w:rFonts w:ascii="Calibri" w:hAnsi="Calibri"/>
          <w:sz w:val="24"/>
          <w:szCs w:val="24"/>
        </w:rPr>
        <w:t>th</w:t>
      </w:r>
      <w:r w:rsidR="00DC1CE2" w:rsidRPr="000A5665">
        <w:rPr>
          <w:rFonts w:ascii="Calibri" w:hAnsi="Calibri"/>
          <w:sz w:val="24"/>
          <w:szCs w:val="24"/>
        </w:rPr>
        <w:t xml:space="preserve">e </w:t>
      </w:r>
      <w:r w:rsidRPr="000A5665">
        <w:rPr>
          <w:rFonts w:ascii="Calibri" w:hAnsi="Calibri"/>
          <w:sz w:val="24"/>
          <w:szCs w:val="24"/>
        </w:rPr>
        <w:t>car</w:t>
      </w:r>
      <w:r w:rsidR="00DC1CE2" w:rsidRPr="000A5665">
        <w:rPr>
          <w:rFonts w:ascii="Calibri" w:hAnsi="Calibri"/>
          <w:sz w:val="24"/>
          <w:szCs w:val="24"/>
        </w:rPr>
        <w:t xml:space="preserve">e </w:t>
      </w:r>
      <w:r w:rsidRPr="000A5665">
        <w:rPr>
          <w:rFonts w:ascii="Calibri" w:hAnsi="Calibri"/>
          <w:sz w:val="24"/>
          <w:szCs w:val="24"/>
        </w:rPr>
        <w:t>secto</w:t>
      </w:r>
      <w:r w:rsidR="00DC1CE2" w:rsidRPr="000A5665">
        <w:rPr>
          <w:rFonts w:ascii="Calibri" w:hAnsi="Calibri"/>
          <w:sz w:val="24"/>
          <w:szCs w:val="24"/>
        </w:rPr>
        <w:t xml:space="preserve">r </w:t>
      </w:r>
      <w:r w:rsidRPr="000A5665">
        <w:rPr>
          <w:rFonts w:ascii="Calibri" w:hAnsi="Calibri"/>
          <w:sz w:val="24"/>
          <w:szCs w:val="24"/>
        </w:rPr>
        <w:t>experienc</w:t>
      </w:r>
      <w:r w:rsidR="00DC1CE2" w:rsidRPr="000A5665">
        <w:rPr>
          <w:rFonts w:ascii="Calibri" w:hAnsi="Calibri"/>
          <w:sz w:val="24"/>
          <w:szCs w:val="24"/>
        </w:rPr>
        <w:t xml:space="preserve">e </w:t>
      </w:r>
      <w:r w:rsidRPr="000A5665">
        <w:rPr>
          <w:rFonts w:ascii="Calibri" w:hAnsi="Calibri"/>
          <w:sz w:val="24"/>
          <w:szCs w:val="24"/>
        </w:rPr>
        <w:t>difficultie</w:t>
      </w:r>
      <w:r w:rsidR="00DC1CE2" w:rsidRPr="000A5665">
        <w:rPr>
          <w:rFonts w:ascii="Calibri" w:hAnsi="Calibri"/>
          <w:sz w:val="24"/>
          <w:szCs w:val="24"/>
        </w:rPr>
        <w:t xml:space="preserve">s </w:t>
      </w:r>
      <w:r w:rsidRPr="000A5665">
        <w:rPr>
          <w:rFonts w:ascii="Calibri" w:hAnsi="Calibri"/>
          <w:sz w:val="24"/>
          <w:szCs w:val="24"/>
        </w:rPr>
        <w:t>i</w:t>
      </w:r>
      <w:r w:rsidR="00DC1CE2" w:rsidRPr="000A5665">
        <w:rPr>
          <w:rFonts w:ascii="Calibri" w:hAnsi="Calibri"/>
          <w:sz w:val="24"/>
          <w:szCs w:val="24"/>
        </w:rPr>
        <w:t xml:space="preserve">n </w:t>
      </w:r>
      <w:r w:rsidRPr="000A5665">
        <w:rPr>
          <w:rFonts w:ascii="Calibri" w:hAnsi="Calibri"/>
          <w:sz w:val="24"/>
          <w:szCs w:val="24"/>
        </w:rPr>
        <w:t>understanding</w:t>
      </w:r>
      <w:r w:rsidR="00DC1CE2" w:rsidRPr="000A5665">
        <w:rPr>
          <w:rFonts w:ascii="Calibri" w:hAnsi="Calibri"/>
          <w:sz w:val="24"/>
          <w:szCs w:val="24"/>
        </w:rPr>
        <w:t xml:space="preserve">, </w:t>
      </w:r>
      <w:r w:rsidRPr="000A5665">
        <w:rPr>
          <w:rFonts w:ascii="Calibri" w:hAnsi="Calibri"/>
          <w:sz w:val="24"/>
          <w:szCs w:val="24"/>
        </w:rPr>
        <w:t>navigatin</w:t>
      </w:r>
      <w:r w:rsidR="00DC1CE2" w:rsidRPr="000A5665">
        <w:rPr>
          <w:rFonts w:ascii="Calibri" w:hAnsi="Calibri"/>
          <w:sz w:val="24"/>
          <w:szCs w:val="24"/>
        </w:rPr>
        <w:t xml:space="preserve">g </w:t>
      </w:r>
      <w:r w:rsidRPr="000A5665">
        <w:rPr>
          <w:rFonts w:ascii="Calibri" w:hAnsi="Calibri"/>
          <w:sz w:val="24"/>
          <w:szCs w:val="24"/>
        </w:rPr>
        <w:t>an</w:t>
      </w:r>
      <w:r w:rsidR="00DC1CE2" w:rsidRPr="000A5665">
        <w:rPr>
          <w:rFonts w:ascii="Calibri" w:hAnsi="Calibri"/>
          <w:sz w:val="24"/>
          <w:szCs w:val="24"/>
        </w:rPr>
        <w:t xml:space="preserve">d </w:t>
      </w:r>
      <w:r w:rsidRPr="000A5665">
        <w:rPr>
          <w:rFonts w:ascii="Calibri" w:hAnsi="Calibri"/>
          <w:sz w:val="24"/>
          <w:szCs w:val="24"/>
        </w:rPr>
        <w:t>pursuin</w:t>
      </w:r>
      <w:r w:rsidR="00DC1CE2" w:rsidRPr="000A5665">
        <w:rPr>
          <w:rFonts w:ascii="Calibri" w:hAnsi="Calibri"/>
          <w:sz w:val="24"/>
          <w:szCs w:val="24"/>
        </w:rPr>
        <w:t xml:space="preserve">g </w:t>
      </w:r>
      <w:r w:rsidRPr="000A5665">
        <w:rPr>
          <w:rFonts w:ascii="Calibri" w:hAnsi="Calibri"/>
          <w:sz w:val="24"/>
          <w:szCs w:val="24"/>
        </w:rPr>
        <w:t>potentia</w:t>
      </w:r>
      <w:r w:rsidR="00DC1CE2" w:rsidRPr="000A5665">
        <w:rPr>
          <w:rFonts w:ascii="Calibri" w:hAnsi="Calibri"/>
          <w:sz w:val="24"/>
          <w:szCs w:val="24"/>
        </w:rPr>
        <w:t xml:space="preserve">l </w:t>
      </w:r>
      <w:r w:rsidRPr="000A5665">
        <w:rPr>
          <w:rFonts w:ascii="Calibri" w:hAnsi="Calibri"/>
          <w:sz w:val="24"/>
          <w:szCs w:val="24"/>
        </w:rPr>
        <w:t>caree</w:t>
      </w:r>
      <w:r w:rsidR="00DC1CE2" w:rsidRPr="000A5665">
        <w:rPr>
          <w:rFonts w:ascii="Calibri" w:hAnsi="Calibri"/>
          <w:sz w:val="24"/>
          <w:szCs w:val="24"/>
        </w:rPr>
        <w:t xml:space="preserve">r </w:t>
      </w:r>
      <w:r w:rsidRPr="000A5665">
        <w:rPr>
          <w:rFonts w:ascii="Calibri" w:hAnsi="Calibri"/>
          <w:sz w:val="24"/>
          <w:szCs w:val="24"/>
        </w:rPr>
        <w:t>pathway</w:t>
      </w:r>
      <w:r w:rsidR="00DC1CE2" w:rsidRPr="000A5665">
        <w:rPr>
          <w:rFonts w:ascii="Calibri" w:hAnsi="Calibri"/>
          <w:sz w:val="24"/>
          <w:szCs w:val="24"/>
        </w:rPr>
        <w:t xml:space="preserve">s </w:t>
      </w:r>
      <w:r w:rsidRPr="000A5665">
        <w:rPr>
          <w:rFonts w:ascii="Calibri" w:hAnsi="Calibri"/>
          <w:sz w:val="24"/>
          <w:szCs w:val="24"/>
        </w:rPr>
        <w:t>whic</w:t>
      </w:r>
      <w:r w:rsidR="00DC1CE2" w:rsidRPr="000A5665">
        <w:rPr>
          <w:rFonts w:ascii="Calibri" w:hAnsi="Calibri"/>
          <w:sz w:val="24"/>
          <w:szCs w:val="24"/>
        </w:rPr>
        <w:t xml:space="preserve">h </w:t>
      </w:r>
      <w:r w:rsidRPr="000A5665">
        <w:rPr>
          <w:rFonts w:ascii="Calibri" w:hAnsi="Calibri"/>
          <w:sz w:val="24"/>
          <w:szCs w:val="24"/>
        </w:rPr>
        <w:t>ha</w:t>
      </w:r>
      <w:r w:rsidR="00DC1CE2" w:rsidRPr="000A5665">
        <w:rPr>
          <w:rFonts w:ascii="Calibri" w:hAnsi="Calibri"/>
          <w:sz w:val="24"/>
          <w:szCs w:val="24"/>
        </w:rPr>
        <w:t xml:space="preserve">s </w:t>
      </w:r>
      <w:r w:rsidRPr="000A5665">
        <w:rPr>
          <w:rFonts w:ascii="Calibri" w:hAnsi="Calibri"/>
          <w:sz w:val="24"/>
          <w:szCs w:val="24"/>
        </w:rPr>
        <w:t>contribute</w:t>
      </w:r>
      <w:r w:rsidR="00DC1CE2" w:rsidRPr="000A5665">
        <w:rPr>
          <w:rFonts w:ascii="Calibri" w:hAnsi="Calibri"/>
          <w:sz w:val="24"/>
          <w:szCs w:val="24"/>
        </w:rPr>
        <w:t xml:space="preserve">d </w:t>
      </w:r>
      <w:r w:rsidRPr="000A5665">
        <w:rPr>
          <w:rFonts w:ascii="Calibri" w:hAnsi="Calibri"/>
          <w:sz w:val="24"/>
          <w:szCs w:val="24"/>
        </w:rPr>
        <w:t>t</w:t>
      </w:r>
      <w:r w:rsidR="00DC1CE2" w:rsidRPr="000A5665">
        <w:rPr>
          <w:rFonts w:ascii="Calibri" w:hAnsi="Calibri"/>
          <w:sz w:val="24"/>
          <w:szCs w:val="24"/>
        </w:rPr>
        <w:t xml:space="preserve">o </w:t>
      </w:r>
      <w:r w:rsidRPr="000A5665">
        <w:rPr>
          <w:rFonts w:ascii="Calibri" w:hAnsi="Calibri"/>
          <w:sz w:val="24"/>
          <w:szCs w:val="24"/>
        </w:rPr>
        <w:t>significan</w:t>
      </w:r>
      <w:r w:rsidR="00DC1CE2" w:rsidRPr="000A5665">
        <w:rPr>
          <w:rFonts w:ascii="Calibri" w:hAnsi="Calibri"/>
          <w:sz w:val="24"/>
          <w:szCs w:val="24"/>
        </w:rPr>
        <w:t xml:space="preserve">t </w:t>
      </w:r>
      <w:r w:rsidRPr="000A5665">
        <w:rPr>
          <w:rFonts w:ascii="Calibri" w:hAnsi="Calibri"/>
          <w:sz w:val="24"/>
          <w:szCs w:val="24"/>
        </w:rPr>
        <w:t>skill</w:t>
      </w:r>
      <w:r w:rsidR="00DC1CE2" w:rsidRPr="000A5665">
        <w:rPr>
          <w:rFonts w:ascii="Calibri" w:hAnsi="Calibri"/>
          <w:sz w:val="24"/>
          <w:szCs w:val="24"/>
        </w:rPr>
        <w:t xml:space="preserve">s </w:t>
      </w:r>
      <w:r w:rsidRPr="000A5665">
        <w:rPr>
          <w:rFonts w:ascii="Calibri" w:hAnsi="Calibri"/>
          <w:sz w:val="24"/>
          <w:szCs w:val="24"/>
        </w:rPr>
        <w:t>an</w:t>
      </w:r>
      <w:r w:rsidR="00DC1CE2" w:rsidRPr="000A5665">
        <w:rPr>
          <w:rFonts w:ascii="Calibri" w:hAnsi="Calibri"/>
          <w:sz w:val="24"/>
          <w:szCs w:val="24"/>
        </w:rPr>
        <w:t xml:space="preserve">d </w:t>
      </w:r>
      <w:r w:rsidRPr="000A5665">
        <w:rPr>
          <w:rFonts w:ascii="Calibri" w:hAnsi="Calibri"/>
          <w:sz w:val="24"/>
          <w:szCs w:val="24"/>
        </w:rPr>
        <w:t>labou</w:t>
      </w:r>
      <w:r w:rsidR="00DC1CE2" w:rsidRPr="000A5665">
        <w:rPr>
          <w:rFonts w:ascii="Calibri" w:hAnsi="Calibri"/>
          <w:sz w:val="24"/>
          <w:szCs w:val="24"/>
        </w:rPr>
        <w:t xml:space="preserve">r </w:t>
      </w:r>
      <w:r w:rsidRPr="000A5665">
        <w:rPr>
          <w:rFonts w:ascii="Calibri" w:hAnsi="Calibri"/>
          <w:sz w:val="24"/>
          <w:szCs w:val="24"/>
        </w:rPr>
        <w:t>marke</w:t>
      </w:r>
      <w:r w:rsidR="00DC1CE2" w:rsidRPr="000A5665">
        <w:rPr>
          <w:rFonts w:ascii="Calibri" w:hAnsi="Calibri"/>
          <w:sz w:val="24"/>
          <w:szCs w:val="24"/>
        </w:rPr>
        <w:t xml:space="preserve">t </w:t>
      </w:r>
      <w:r w:rsidRPr="000A5665">
        <w:rPr>
          <w:rFonts w:ascii="Calibri" w:hAnsi="Calibri"/>
          <w:sz w:val="24"/>
          <w:szCs w:val="24"/>
        </w:rPr>
        <w:t>shortages</w:t>
      </w:r>
      <w:r w:rsidR="00DC1CE2" w:rsidRPr="000A5665">
        <w:rPr>
          <w:rFonts w:ascii="Calibri" w:hAnsi="Calibri"/>
          <w:sz w:val="24"/>
          <w:szCs w:val="24"/>
        </w:rPr>
        <w:t xml:space="preserve">. </w:t>
      </w:r>
      <w:r w:rsidRPr="000A5665">
        <w:rPr>
          <w:rFonts w:ascii="Calibri" w:hAnsi="Calibri"/>
          <w:sz w:val="24"/>
          <w:szCs w:val="24"/>
        </w:rPr>
        <w:t>I</w:t>
      </w:r>
      <w:r w:rsidR="00DC1CE2" w:rsidRPr="000A5665">
        <w:rPr>
          <w:rFonts w:ascii="Calibri" w:hAnsi="Calibri"/>
          <w:sz w:val="24"/>
          <w:szCs w:val="24"/>
        </w:rPr>
        <w:t xml:space="preserve">n </w:t>
      </w:r>
      <w:r w:rsidRPr="000A5665">
        <w:rPr>
          <w:rFonts w:ascii="Calibri" w:hAnsi="Calibri"/>
          <w:sz w:val="24"/>
          <w:szCs w:val="24"/>
        </w:rPr>
        <w:t>recognitio</w:t>
      </w:r>
      <w:r w:rsidR="00DC1CE2" w:rsidRPr="000A5665">
        <w:rPr>
          <w:rFonts w:ascii="Calibri" w:hAnsi="Calibri"/>
          <w:sz w:val="24"/>
          <w:szCs w:val="24"/>
        </w:rPr>
        <w:t xml:space="preserve">n </w:t>
      </w:r>
      <w:r w:rsidRPr="000A5665">
        <w:rPr>
          <w:rFonts w:ascii="Calibri" w:hAnsi="Calibri"/>
          <w:sz w:val="24"/>
          <w:szCs w:val="24"/>
        </w:rPr>
        <w:t>o</w:t>
      </w:r>
      <w:r w:rsidR="00DC1CE2" w:rsidRPr="000A5665">
        <w:rPr>
          <w:rFonts w:ascii="Calibri" w:hAnsi="Calibri"/>
          <w:sz w:val="24"/>
          <w:szCs w:val="24"/>
        </w:rPr>
        <w:t xml:space="preserve">f </w:t>
      </w:r>
      <w:r w:rsidRPr="000A5665">
        <w:rPr>
          <w:rFonts w:ascii="Calibri" w:hAnsi="Calibri"/>
          <w:sz w:val="24"/>
          <w:szCs w:val="24"/>
        </w:rPr>
        <w:t>this</w:t>
      </w:r>
      <w:r w:rsidR="00DC1CE2" w:rsidRPr="000A5665">
        <w:rPr>
          <w:rFonts w:ascii="Calibri" w:hAnsi="Calibri"/>
          <w:sz w:val="24"/>
          <w:szCs w:val="24"/>
        </w:rPr>
        <w:t xml:space="preserve">, </w:t>
      </w:r>
      <w:r w:rsidRPr="000A5665">
        <w:rPr>
          <w:rFonts w:ascii="Calibri" w:hAnsi="Calibri"/>
          <w:sz w:val="24"/>
          <w:szCs w:val="24"/>
        </w:rPr>
        <w:t>th</w:t>
      </w:r>
      <w:r w:rsidR="00DC1CE2" w:rsidRPr="000A5665">
        <w:rPr>
          <w:rFonts w:ascii="Calibri" w:hAnsi="Calibri"/>
          <w:sz w:val="24"/>
          <w:szCs w:val="24"/>
        </w:rPr>
        <w:t xml:space="preserve">e </w:t>
      </w:r>
      <w:r w:rsidRPr="000A5665">
        <w:rPr>
          <w:rFonts w:ascii="Calibri" w:hAnsi="Calibri"/>
          <w:sz w:val="24"/>
          <w:szCs w:val="24"/>
        </w:rPr>
        <w:t>Australia</w:t>
      </w:r>
      <w:r w:rsidR="00DC1CE2" w:rsidRPr="000A5665">
        <w:rPr>
          <w:rFonts w:ascii="Calibri" w:hAnsi="Calibri"/>
          <w:sz w:val="24"/>
          <w:szCs w:val="24"/>
        </w:rPr>
        <w:t xml:space="preserve">n </w:t>
      </w:r>
      <w:r w:rsidRPr="000A5665">
        <w:rPr>
          <w:rFonts w:ascii="Calibri" w:hAnsi="Calibri"/>
          <w:sz w:val="24"/>
          <w:szCs w:val="24"/>
        </w:rPr>
        <w:t>Governmen</w:t>
      </w:r>
      <w:r w:rsidR="00DC1CE2" w:rsidRPr="000A5665">
        <w:rPr>
          <w:rFonts w:ascii="Calibri" w:hAnsi="Calibri"/>
          <w:sz w:val="24"/>
          <w:szCs w:val="24"/>
        </w:rPr>
        <w:t xml:space="preserve">t </w:t>
      </w:r>
      <w:r w:rsidRPr="000A5665">
        <w:rPr>
          <w:rFonts w:ascii="Calibri" w:hAnsi="Calibri"/>
          <w:sz w:val="24"/>
          <w:szCs w:val="24"/>
        </w:rPr>
        <w:t>ha</w:t>
      </w:r>
      <w:r w:rsidR="00DC1CE2" w:rsidRPr="000A5665">
        <w:rPr>
          <w:rFonts w:ascii="Calibri" w:hAnsi="Calibri"/>
          <w:sz w:val="24"/>
          <w:szCs w:val="24"/>
        </w:rPr>
        <w:t xml:space="preserve">s </w:t>
      </w:r>
      <w:r w:rsidRPr="000A5665">
        <w:rPr>
          <w:rFonts w:ascii="Calibri" w:hAnsi="Calibri"/>
          <w:sz w:val="24"/>
          <w:szCs w:val="24"/>
        </w:rPr>
        <w:t>commissione</w:t>
      </w:r>
      <w:r w:rsidR="00DC1CE2" w:rsidRPr="000A5665">
        <w:rPr>
          <w:rFonts w:ascii="Calibri" w:hAnsi="Calibri"/>
          <w:sz w:val="24"/>
          <w:szCs w:val="24"/>
        </w:rPr>
        <w:t xml:space="preserve">d a </w:t>
      </w:r>
      <w:r w:rsidRPr="000A5665">
        <w:rPr>
          <w:rFonts w:ascii="Calibri" w:hAnsi="Calibri"/>
          <w:sz w:val="24"/>
          <w:szCs w:val="24"/>
        </w:rPr>
        <w:t>projec</w:t>
      </w:r>
      <w:r w:rsidR="00DC1CE2" w:rsidRPr="000A5665">
        <w:rPr>
          <w:rFonts w:ascii="Calibri" w:hAnsi="Calibri"/>
          <w:sz w:val="24"/>
          <w:szCs w:val="24"/>
        </w:rPr>
        <w:t xml:space="preserve">t </w:t>
      </w:r>
      <w:r w:rsidRPr="000A5665">
        <w:rPr>
          <w:rFonts w:ascii="Calibri" w:hAnsi="Calibri"/>
          <w:sz w:val="24"/>
          <w:szCs w:val="24"/>
        </w:rPr>
        <w:t>throug</w:t>
      </w:r>
      <w:r w:rsidR="00DC1CE2" w:rsidRPr="000A5665">
        <w:rPr>
          <w:rFonts w:ascii="Calibri" w:hAnsi="Calibri"/>
          <w:sz w:val="24"/>
          <w:szCs w:val="24"/>
        </w:rPr>
        <w:t xml:space="preserve">h </w:t>
      </w:r>
      <w:r w:rsidRPr="000A5665">
        <w:rPr>
          <w:rFonts w:ascii="Calibri" w:hAnsi="Calibri"/>
          <w:sz w:val="24"/>
          <w:szCs w:val="24"/>
        </w:rPr>
        <w:t>HumanAbilit</w:t>
      </w:r>
      <w:r w:rsidR="00DC1CE2" w:rsidRPr="000A5665">
        <w:rPr>
          <w:rFonts w:ascii="Calibri" w:hAnsi="Calibri"/>
          <w:sz w:val="24"/>
          <w:szCs w:val="24"/>
        </w:rPr>
        <w:t xml:space="preserve">y </w:t>
      </w:r>
      <w:r w:rsidRPr="000A5665">
        <w:rPr>
          <w:rFonts w:ascii="Calibri" w:hAnsi="Calibri"/>
          <w:sz w:val="24"/>
          <w:szCs w:val="24"/>
        </w:rPr>
        <w:t>t</w:t>
      </w:r>
      <w:r w:rsidR="00DC1CE2" w:rsidRPr="000A5665">
        <w:rPr>
          <w:rFonts w:ascii="Calibri" w:hAnsi="Calibri"/>
          <w:sz w:val="24"/>
          <w:szCs w:val="24"/>
        </w:rPr>
        <w:t xml:space="preserve">o </w:t>
      </w:r>
      <w:r w:rsidRPr="000A5665">
        <w:rPr>
          <w:rFonts w:ascii="Calibri" w:hAnsi="Calibri"/>
          <w:sz w:val="24"/>
          <w:szCs w:val="24"/>
        </w:rPr>
        <w:t>suppor</w:t>
      </w:r>
      <w:r w:rsidR="00DC1CE2" w:rsidRPr="000A5665">
        <w:rPr>
          <w:rFonts w:ascii="Calibri" w:hAnsi="Calibri"/>
          <w:sz w:val="24"/>
          <w:szCs w:val="24"/>
        </w:rPr>
        <w:t xml:space="preserve">t </w:t>
      </w:r>
      <w:r w:rsidRPr="000A5665">
        <w:rPr>
          <w:rFonts w:ascii="Calibri" w:hAnsi="Calibri"/>
          <w:sz w:val="24"/>
          <w:szCs w:val="24"/>
        </w:rPr>
        <w:t>th</w:t>
      </w:r>
      <w:r w:rsidR="00DC1CE2" w:rsidRPr="000A5665">
        <w:rPr>
          <w:rFonts w:ascii="Calibri" w:hAnsi="Calibri"/>
          <w:sz w:val="24"/>
          <w:szCs w:val="24"/>
        </w:rPr>
        <w:t xml:space="preserve">e </w:t>
      </w:r>
      <w:r w:rsidRPr="000A5665">
        <w:rPr>
          <w:rFonts w:ascii="Calibri" w:hAnsi="Calibri"/>
          <w:sz w:val="24"/>
          <w:szCs w:val="24"/>
        </w:rPr>
        <w:t>developmen</w:t>
      </w:r>
      <w:r w:rsidR="00DC1CE2" w:rsidRPr="000A5665">
        <w:rPr>
          <w:rFonts w:ascii="Calibri" w:hAnsi="Calibri"/>
          <w:sz w:val="24"/>
          <w:szCs w:val="24"/>
        </w:rPr>
        <w:t xml:space="preserve">t </w:t>
      </w:r>
      <w:r w:rsidRPr="000A5665">
        <w:rPr>
          <w:rFonts w:ascii="Calibri" w:hAnsi="Calibri"/>
          <w:sz w:val="24"/>
          <w:szCs w:val="24"/>
        </w:rPr>
        <w:t>an</w:t>
      </w:r>
      <w:r w:rsidR="00DC1CE2" w:rsidRPr="000A5665">
        <w:rPr>
          <w:rFonts w:ascii="Calibri" w:hAnsi="Calibri"/>
          <w:sz w:val="24"/>
          <w:szCs w:val="24"/>
        </w:rPr>
        <w:t xml:space="preserve">d </w:t>
      </w:r>
      <w:r w:rsidRPr="000A5665">
        <w:rPr>
          <w:rFonts w:ascii="Calibri" w:hAnsi="Calibri"/>
          <w:sz w:val="24"/>
          <w:szCs w:val="24"/>
        </w:rPr>
        <w:t>growt</w:t>
      </w:r>
      <w:r w:rsidR="00DC1CE2" w:rsidRPr="000A5665">
        <w:rPr>
          <w:rFonts w:ascii="Calibri" w:hAnsi="Calibri"/>
          <w:sz w:val="24"/>
          <w:szCs w:val="24"/>
        </w:rPr>
        <w:t xml:space="preserve">h </w:t>
      </w:r>
      <w:r w:rsidRPr="000A5665">
        <w:rPr>
          <w:rFonts w:ascii="Calibri" w:hAnsi="Calibri"/>
          <w:sz w:val="24"/>
          <w:szCs w:val="24"/>
        </w:rPr>
        <w:t>o</w:t>
      </w:r>
      <w:r w:rsidR="00DC1CE2" w:rsidRPr="000A5665">
        <w:rPr>
          <w:rFonts w:ascii="Calibri" w:hAnsi="Calibri"/>
          <w:sz w:val="24"/>
          <w:szCs w:val="24"/>
        </w:rPr>
        <w:t xml:space="preserve">f a </w:t>
      </w:r>
      <w:r w:rsidRPr="000A5665">
        <w:rPr>
          <w:rFonts w:ascii="Calibri" w:hAnsi="Calibri"/>
          <w:sz w:val="24"/>
          <w:szCs w:val="24"/>
        </w:rPr>
        <w:t>suitabl</w:t>
      </w:r>
      <w:r w:rsidR="00DC1CE2" w:rsidRPr="000A5665">
        <w:rPr>
          <w:rFonts w:ascii="Calibri" w:hAnsi="Calibri"/>
          <w:sz w:val="24"/>
          <w:szCs w:val="24"/>
        </w:rPr>
        <w:t xml:space="preserve">y </w:t>
      </w:r>
      <w:r w:rsidRPr="000A5665">
        <w:rPr>
          <w:rFonts w:ascii="Calibri" w:hAnsi="Calibri"/>
          <w:sz w:val="24"/>
          <w:szCs w:val="24"/>
        </w:rPr>
        <w:t>skille</w:t>
      </w:r>
      <w:r w:rsidR="00DC1CE2" w:rsidRPr="000A5665">
        <w:rPr>
          <w:rFonts w:ascii="Calibri" w:hAnsi="Calibri"/>
          <w:sz w:val="24"/>
          <w:szCs w:val="24"/>
        </w:rPr>
        <w:t xml:space="preserve">d </w:t>
      </w:r>
      <w:r w:rsidRPr="000A5665">
        <w:rPr>
          <w:rFonts w:ascii="Calibri" w:hAnsi="Calibri"/>
          <w:sz w:val="24"/>
          <w:szCs w:val="24"/>
        </w:rPr>
        <w:t>workforc</w:t>
      </w:r>
      <w:r w:rsidR="00DC1CE2" w:rsidRPr="000A5665">
        <w:rPr>
          <w:rFonts w:ascii="Calibri" w:hAnsi="Calibri"/>
          <w:sz w:val="24"/>
          <w:szCs w:val="24"/>
        </w:rPr>
        <w:t xml:space="preserve">e </w:t>
      </w:r>
      <w:r w:rsidRPr="000A5665">
        <w:rPr>
          <w:rFonts w:ascii="Calibri" w:hAnsi="Calibri"/>
          <w:sz w:val="24"/>
          <w:szCs w:val="24"/>
        </w:rPr>
        <w:t>t</w:t>
      </w:r>
      <w:r w:rsidR="00DC1CE2" w:rsidRPr="000A5665">
        <w:rPr>
          <w:rFonts w:ascii="Calibri" w:hAnsi="Calibri"/>
          <w:sz w:val="24"/>
          <w:szCs w:val="24"/>
        </w:rPr>
        <w:t xml:space="preserve">o </w:t>
      </w:r>
      <w:r w:rsidRPr="000A5665">
        <w:rPr>
          <w:rFonts w:ascii="Calibri" w:hAnsi="Calibri"/>
          <w:sz w:val="24"/>
          <w:szCs w:val="24"/>
        </w:rPr>
        <w:t>mee</w:t>
      </w:r>
      <w:r w:rsidR="00DC1CE2" w:rsidRPr="000A5665">
        <w:rPr>
          <w:rFonts w:ascii="Calibri" w:hAnsi="Calibri"/>
          <w:sz w:val="24"/>
          <w:szCs w:val="24"/>
        </w:rPr>
        <w:t xml:space="preserve">t </w:t>
      </w:r>
      <w:r w:rsidRPr="000A5665">
        <w:rPr>
          <w:rFonts w:ascii="Calibri" w:hAnsi="Calibri"/>
          <w:sz w:val="24"/>
          <w:szCs w:val="24"/>
        </w:rPr>
        <w:t>th</w:t>
      </w:r>
      <w:r w:rsidR="00DC1CE2" w:rsidRPr="000A5665">
        <w:rPr>
          <w:rFonts w:ascii="Calibri" w:hAnsi="Calibri"/>
          <w:sz w:val="24"/>
          <w:szCs w:val="24"/>
        </w:rPr>
        <w:t xml:space="preserve">e </w:t>
      </w:r>
      <w:r w:rsidRPr="000A5665">
        <w:rPr>
          <w:rFonts w:ascii="Calibri" w:hAnsi="Calibri"/>
          <w:sz w:val="24"/>
          <w:szCs w:val="24"/>
        </w:rPr>
        <w:t>sectors’ futur</w:t>
      </w:r>
      <w:r w:rsidR="00DC1CE2" w:rsidRPr="000A5665">
        <w:rPr>
          <w:rFonts w:ascii="Calibri" w:hAnsi="Calibri"/>
          <w:sz w:val="24"/>
          <w:szCs w:val="24"/>
        </w:rPr>
        <w:t xml:space="preserve">e </w:t>
      </w:r>
      <w:r w:rsidRPr="000A5665">
        <w:rPr>
          <w:rFonts w:ascii="Calibri" w:hAnsi="Calibri"/>
          <w:sz w:val="24"/>
          <w:szCs w:val="24"/>
        </w:rPr>
        <w:t>workforc</w:t>
      </w:r>
      <w:r w:rsidR="00DC1CE2" w:rsidRPr="000A5665">
        <w:rPr>
          <w:rFonts w:ascii="Calibri" w:hAnsi="Calibri"/>
          <w:sz w:val="24"/>
          <w:szCs w:val="24"/>
        </w:rPr>
        <w:t xml:space="preserve">e </w:t>
      </w:r>
      <w:r w:rsidRPr="000A5665">
        <w:rPr>
          <w:rFonts w:ascii="Calibri" w:hAnsi="Calibri"/>
          <w:sz w:val="24"/>
          <w:szCs w:val="24"/>
        </w:rPr>
        <w:t>needs</w:t>
      </w:r>
      <w:r w:rsidR="00DC1CE2" w:rsidRPr="000A5665">
        <w:rPr>
          <w:rFonts w:ascii="Calibri" w:hAnsi="Calibri"/>
          <w:sz w:val="24"/>
          <w:szCs w:val="24"/>
        </w:rPr>
        <w:t xml:space="preserve">, </w:t>
      </w:r>
      <w:r w:rsidRPr="000A5665">
        <w:rPr>
          <w:rFonts w:ascii="Calibri" w:hAnsi="Calibri"/>
          <w:sz w:val="24"/>
          <w:szCs w:val="24"/>
        </w:rPr>
        <w:t>an</w:t>
      </w:r>
      <w:r w:rsidR="00DC1CE2" w:rsidRPr="000A5665">
        <w:rPr>
          <w:rFonts w:ascii="Calibri" w:hAnsi="Calibri"/>
          <w:sz w:val="24"/>
          <w:szCs w:val="24"/>
        </w:rPr>
        <w:t xml:space="preserve">d </w:t>
      </w:r>
      <w:r w:rsidRPr="000A5665">
        <w:rPr>
          <w:rFonts w:ascii="Calibri" w:hAnsi="Calibri"/>
          <w:sz w:val="24"/>
          <w:szCs w:val="24"/>
        </w:rPr>
        <w:t>delive</w:t>
      </w:r>
      <w:r w:rsidR="00DC1CE2" w:rsidRPr="000A5665">
        <w:rPr>
          <w:rFonts w:ascii="Calibri" w:hAnsi="Calibri"/>
          <w:sz w:val="24"/>
          <w:szCs w:val="24"/>
        </w:rPr>
        <w:t xml:space="preserve">r </w:t>
      </w:r>
      <w:r w:rsidRPr="000A5665">
        <w:rPr>
          <w:rFonts w:ascii="Calibri" w:hAnsi="Calibri"/>
          <w:sz w:val="24"/>
          <w:szCs w:val="24"/>
        </w:rPr>
        <w:t>hig</w:t>
      </w:r>
      <w:r w:rsidR="00DC1CE2" w:rsidRPr="000A5665">
        <w:rPr>
          <w:rFonts w:ascii="Calibri" w:hAnsi="Calibri"/>
          <w:sz w:val="24"/>
          <w:szCs w:val="24"/>
        </w:rPr>
        <w:t xml:space="preserve">h </w:t>
      </w:r>
      <w:r w:rsidRPr="000A5665">
        <w:rPr>
          <w:rFonts w:ascii="Calibri" w:hAnsi="Calibri"/>
          <w:sz w:val="24"/>
          <w:szCs w:val="24"/>
        </w:rPr>
        <w:t>qualit</w:t>
      </w:r>
      <w:r w:rsidR="00DC1CE2" w:rsidRPr="000A5665">
        <w:rPr>
          <w:rFonts w:ascii="Calibri" w:hAnsi="Calibri"/>
          <w:sz w:val="24"/>
          <w:szCs w:val="24"/>
        </w:rPr>
        <w:t xml:space="preserve">y </w:t>
      </w:r>
      <w:r w:rsidRPr="000A5665">
        <w:rPr>
          <w:rFonts w:ascii="Calibri" w:hAnsi="Calibri"/>
          <w:sz w:val="24"/>
          <w:szCs w:val="24"/>
        </w:rPr>
        <w:t>care</w:t>
      </w:r>
      <w:r w:rsidR="00DC1CE2" w:rsidRPr="000A5665">
        <w:rPr>
          <w:rFonts w:ascii="Calibri" w:hAnsi="Calibri"/>
          <w:sz w:val="24"/>
          <w:szCs w:val="24"/>
        </w:rPr>
        <w:t xml:space="preserve">, </w:t>
      </w:r>
      <w:r w:rsidRPr="000A5665">
        <w:rPr>
          <w:rFonts w:ascii="Calibri" w:hAnsi="Calibri"/>
          <w:sz w:val="24"/>
          <w:szCs w:val="24"/>
        </w:rPr>
        <w:t>suppor</w:t>
      </w:r>
      <w:r w:rsidR="00DC1CE2" w:rsidRPr="000A5665">
        <w:rPr>
          <w:rFonts w:ascii="Calibri" w:hAnsi="Calibri"/>
          <w:sz w:val="24"/>
          <w:szCs w:val="24"/>
        </w:rPr>
        <w:t xml:space="preserve">t </w:t>
      </w:r>
      <w:r w:rsidRPr="000A5665">
        <w:rPr>
          <w:rFonts w:ascii="Calibri" w:hAnsi="Calibri"/>
          <w:sz w:val="24"/>
          <w:szCs w:val="24"/>
        </w:rPr>
        <w:t>an</w:t>
      </w:r>
      <w:r w:rsidR="00DC1CE2" w:rsidRPr="000A5665">
        <w:rPr>
          <w:rFonts w:ascii="Calibri" w:hAnsi="Calibri"/>
          <w:sz w:val="24"/>
          <w:szCs w:val="24"/>
        </w:rPr>
        <w:t xml:space="preserve">d </w:t>
      </w:r>
      <w:r w:rsidRPr="000A5665">
        <w:rPr>
          <w:rFonts w:ascii="Calibri" w:hAnsi="Calibri"/>
          <w:sz w:val="24"/>
          <w:szCs w:val="24"/>
        </w:rPr>
        <w:t>services</w:t>
      </w:r>
      <w:r w:rsidR="00DC1CE2" w:rsidRPr="000A5665">
        <w:rPr>
          <w:rFonts w:ascii="Calibri" w:hAnsi="Calibri"/>
          <w:sz w:val="24"/>
          <w:szCs w:val="24"/>
        </w:rPr>
        <w:t xml:space="preserve">. </w:t>
      </w:r>
    </w:p>
    <w:p w14:paraId="009ED7C7" w14:textId="7BC3C400" w:rsidR="00B4453F" w:rsidRPr="000A5665" w:rsidRDefault="00B4453F" w:rsidP="000A5665">
      <w:pPr>
        <w:pStyle w:val="BodyText"/>
        <w:spacing w:before="0" w:after="160" w:line="312" w:lineRule="auto"/>
        <w:rPr>
          <w:rFonts w:ascii="Calibri" w:hAnsi="Calibri"/>
          <w:sz w:val="24"/>
          <w:szCs w:val="24"/>
        </w:rPr>
      </w:pPr>
      <w:r w:rsidRPr="000A5665">
        <w:rPr>
          <w:rFonts w:ascii="Calibri" w:hAnsi="Calibri"/>
          <w:sz w:val="24"/>
          <w:szCs w:val="24"/>
        </w:rPr>
        <w:t>Whil</w:t>
      </w:r>
      <w:r w:rsidR="00DC1CE2" w:rsidRPr="000A5665">
        <w:rPr>
          <w:rFonts w:ascii="Calibri" w:hAnsi="Calibri"/>
          <w:sz w:val="24"/>
          <w:szCs w:val="24"/>
        </w:rPr>
        <w:t xml:space="preserve">e </w:t>
      </w:r>
      <w:r w:rsidRPr="000A5665">
        <w:rPr>
          <w:rFonts w:ascii="Calibri" w:hAnsi="Calibri"/>
          <w:sz w:val="24"/>
          <w:szCs w:val="24"/>
        </w:rPr>
        <w:t>th</w:t>
      </w:r>
      <w:r w:rsidR="00DC1CE2" w:rsidRPr="000A5665">
        <w:rPr>
          <w:rFonts w:ascii="Calibri" w:hAnsi="Calibri"/>
          <w:sz w:val="24"/>
          <w:szCs w:val="24"/>
        </w:rPr>
        <w:t xml:space="preserve">e </w:t>
      </w:r>
      <w:r w:rsidRPr="000A5665">
        <w:rPr>
          <w:rFonts w:ascii="Calibri" w:hAnsi="Calibri"/>
          <w:sz w:val="24"/>
          <w:szCs w:val="24"/>
        </w:rPr>
        <w:t>car</w:t>
      </w:r>
      <w:r w:rsidR="00DC1CE2" w:rsidRPr="000A5665">
        <w:rPr>
          <w:rFonts w:ascii="Calibri" w:hAnsi="Calibri"/>
          <w:sz w:val="24"/>
          <w:szCs w:val="24"/>
        </w:rPr>
        <w:t xml:space="preserve">e </w:t>
      </w:r>
      <w:r w:rsidRPr="000A5665">
        <w:rPr>
          <w:rFonts w:ascii="Calibri" w:hAnsi="Calibri"/>
          <w:sz w:val="24"/>
          <w:szCs w:val="24"/>
        </w:rPr>
        <w:t>econom</w:t>
      </w:r>
      <w:r w:rsidR="00DC1CE2" w:rsidRPr="000A5665">
        <w:rPr>
          <w:rFonts w:ascii="Calibri" w:hAnsi="Calibri"/>
          <w:sz w:val="24"/>
          <w:szCs w:val="24"/>
        </w:rPr>
        <w:t xml:space="preserve">y </w:t>
      </w:r>
      <w:r w:rsidRPr="000A5665">
        <w:rPr>
          <w:rFonts w:ascii="Calibri" w:hAnsi="Calibri"/>
          <w:sz w:val="24"/>
          <w:szCs w:val="24"/>
        </w:rPr>
        <w:t>i</w:t>
      </w:r>
      <w:r w:rsidR="00DC1CE2" w:rsidRPr="000A5665">
        <w:rPr>
          <w:rFonts w:ascii="Calibri" w:hAnsi="Calibri"/>
          <w:sz w:val="24"/>
          <w:szCs w:val="24"/>
        </w:rPr>
        <w:t xml:space="preserve">s </w:t>
      </w:r>
      <w:r w:rsidRPr="000A5665">
        <w:rPr>
          <w:rFonts w:ascii="Calibri" w:hAnsi="Calibri"/>
          <w:sz w:val="24"/>
          <w:szCs w:val="24"/>
        </w:rPr>
        <w:t>broader</w:t>
      </w:r>
      <w:r w:rsidR="00DC1CE2" w:rsidRPr="000A5665">
        <w:rPr>
          <w:rFonts w:ascii="Calibri" w:hAnsi="Calibri"/>
          <w:sz w:val="24"/>
          <w:szCs w:val="24"/>
        </w:rPr>
        <w:t xml:space="preserve">, </w:t>
      </w:r>
      <w:r w:rsidRPr="000A5665">
        <w:rPr>
          <w:rFonts w:ascii="Calibri" w:hAnsi="Calibri"/>
          <w:sz w:val="24"/>
          <w:szCs w:val="24"/>
        </w:rPr>
        <w:t>i</w:t>
      </w:r>
      <w:r w:rsidR="00DC1CE2" w:rsidRPr="000A5665">
        <w:rPr>
          <w:rFonts w:ascii="Calibri" w:hAnsi="Calibri"/>
          <w:sz w:val="24"/>
          <w:szCs w:val="24"/>
        </w:rPr>
        <w:t xml:space="preserve">n </w:t>
      </w:r>
      <w:r w:rsidRPr="000A5665">
        <w:rPr>
          <w:rFonts w:ascii="Calibri" w:hAnsi="Calibri"/>
          <w:sz w:val="24"/>
          <w:szCs w:val="24"/>
        </w:rPr>
        <w:t>scop</w:t>
      </w:r>
      <w:r w:rsidR="00DC1CE2" w:rsidRPr="000A5665">
        <w:rPr>
          <w:rFonts w:ascii="Calibri" w:hAnsi="Calibri"/>
          <w:sz w:val="24"/>
          <w:szCs w:val="24"/>
        </w:rPr>
        <w:t xml:space="preserve">e </w:t>
      </w:r>
      <w:r w:rsidRPr="000A5665">
        <w:rPr>
          <w:rFonts w:ascii="Calibri" w:hAnsi="Calibri"/>
          <w:sz w:val="24"/>
          <w:szCs w:val="24"/>
        </w:rPr>
        <w:t>fo</w:t>
      </w:r>
      <w:r w:rsidR="00DC1CE2" w:rsidRPr="000A5665">
        <w:rPr>
          <w:rFonts w:ascii="Calibri" w:hAnsi="Calibri"/>
          <w:sz w:val="24"/>
          <w:szCs w:val="24"/>
        </w:rPr>
        <w:t xml:space="preserve">r </w:t>
      </w:r>
      <w:r w:rsidRPr="000A5665">
        <w:rPr>
          <w:rFonts w:ascii="Calibri" w:hAnsi="Calibri"/>
          <w:sz w:val="24"/>
          <w:szCs w:val="24"/>
        </w:rPr>
        <w:t>thi</w:t>
      </w:r>
      <w:r w:rsidR="00DC1CE2" w:rsidRPr="000A5665">
        <w:rPr>
          <w:rFonts w:ascii="Calibri" w:hAnsi="Calibri"/>
          <w:sz w:val="24"/>
          <w:szCs w:val="24"/>
        </w:rPr>
        <w:t xml:space="preserve">s </w:t>
      </w:r>
      <w:r w:rsidR="005447E7" w:rsidRPr="000A5665">
        <w:rPr>
          <w:rFonts w:ascii="Calibri" w:hAnsi="Calibri"/>
          <w:sz w:val="24"/>
          <w:szCs w:val="24"/>
        </w:rPr>
        <w:t>projec</w:t>
      </w:r>
      <w:r w:rsidR="00DC1CE2" w:rsidRPr="000A5665">
        <w:rPr>
          <w:rFonts w:ascii="Calibri" w:hAnsi="Calibri"/>
          <w:sz w:val="24"/>
          <w:szCs w:val="24"/>
        </w:rPr>
        <w:t xml:space="preserve">t </w:t>
      </w:r>
      <w:r w:rsidRPr="000A5665">
        <w:rPr>
          <w:rFonts w:ascii="Calibri" w:hAnsi="Calibri"/>
          <w:sz w:val="24"/>
          <w:szCs w:val="24"/>
        </w:rPr>
        <w:t>i</w:t>
      </w:r>
      <w:r w:rsidR="00DC1CE2" w:rsidRPr="000A5665">
        <w:rPr>
          <w:rFonts w:ascii="Calibri" w:hAnsi="Calibri"/>
          <w:sz w:val="24"/>
          <w:szCs w:val="24"/>
        </w:rPr>
        <w:t xml:space="preserve">s </w:t>
      </w:r>
      <w:r w:rsidRPr="000A5665">
        <w:rPr>
          <w:rFonts w:ascii="Calibri" w:hAnsi="Calibri"/>
          <w:sz w:val="24"/>
          <w:szCs w:val="24"/>
        </w:rPr>
        <w:t>specificall</w:t>
      </w:r>
      <w:r w:rsidR="00DC1CE2" w:rsidRPr="000A5665">
        <w:rPr>
          <w:rFonts w:ascii="Calibri" w:hAnsi="Calibri"/>
          <w:sz w:val="24"/>
          <w:szCs w:val="24"/>
        </w:rPr>
        <w:t xml:space="preserve">y </w:t>
      </w:r>
      <w:r w:rsidRPr="000A5665">
        <w:rPr>
          <w:rFonts w:ascii="Calibri" w:hAnsi="Calibri"/>
          <w:sz w:val="24"/>
          <w:szCs w:val="24"/>
        </w:rPr>
        <w:t>age</w:t>
      </w:r>
      <w:r w:rsidR="00DC1CE2" w:rsidRPr="000A5665">
        <w:rPr>
          <w:rFonts w:ascii="Calibri" w:hAnsi="Calibri"/>
          <w:sz w:val="24"/>
          <w:szCs w:val="24"/>
        </w:rPr>
        <w:t xml:space="preserve">d </w:t>
      </w:r>
      <w:r w:rsidRPr="000A5665">
        <w:rPr>
          <w:rFonts w:ascii="Calibri" w:hAnsi="Calibri"/>
          <w:sz w:val="24"/>
          <w:szCs w:val="24"/>
        </w:rPr>
        <w:t>care</w:t>
      </w:r>
      <w:r w:rsidR="00DC1CE2" w:rsidRPr="000A5665">
        <w:rPr>
          <w:rFonts w:ascii="Calibri" w:hAnsi="Calibri"/>
          <w:sz w:val="24"/>
          <w:szCs w:val="24"/>
        </w:rPr>
        <w:t xml:space="preserve">, </w:t>
      </w:r>
      <w:r w:rsidRPr="000A5665">
        <w:rPr>
          <w:rFonts w:ascii="Calibri" w:hAnsi="Calibri"/>
          <w:sz w:val="24"/>
          <w:szCs w:val="24"/>
        </w:rPr>
        <w:t>disabilit</w:t>
      </w:r>
      <w:r w:rsidR="00DC1CE2" w:rsidRPr="000A5665">
        <w:rPr>
          <w:rFonts w:ascii="Calibri" w:hAnsi="Calibri"/>
          <w:sz w:val="24"/>
          <w:szCs w:val="24"/>
        </w:rPr>
        <w:t xml:space="preserve">y </w:t>
      </w:r>
      <w:r w:rsidRPr="000A5665">
        <w:rPr>
          <w:rFonts w:ascii="Calibri" w:hAnsi="Calibri"/>
          <w:sz w:val="24"/>
          <w:szCs w:val="24"/>
        </w:rPr>
        <w:t>an</w:t>
      </w:r>
      <w:r w:rsidR="00DC1CE2" w:rsidRPr="000A5665">
        <w:rPr>
          <w:rFonts w:ascii="Calibri" w:hAnsi="Calibri"/>
          <w:sz w:val="24"/>
          <w:szCs w:val="24"/>
        </w:rPr>
        <w:t xml:space="preserve">d </w:t>
      </w:r>
      <w:r w:rsidRPr="000A5665">
        <w:rPr>
          <w:rFonts w:ascii="Calibri" w:hAnsi="Calibri"/>
          <w:sz w:val="24"/>
          <w:szCs w:val="24"/>
        </w:rPr>
        <w:t>veteran</w:t>
      </w:r>
      <w:r w:rsidR="00DC1CE2" w:rsidRPr="000A5665">
        <w:rPr>
          <w:rFonts w:ascii="Calibri" w:hAnsi="Calibri"/>
          <w:sz w:val="24"/>
          <w:szCs w:val="24"/>
        </w:rPr>
        <w:t xml:space="preserve">s </w:t>
      </w:r>
      <w:r w:rsidRPr="000A5665">
        <w:rPr>
          <w:rFonts w:ascii="Calibri" w:hAnsi="Calibri"/>
          <w:sz w:val="24"/>
          <w:szCs w:val="24"/>
        </w:rPr>
        <w:t>suppor</w:t>
      </w:r>
      <w:r w:rsidR="00DC1CE2" w:rsidRPr="000A5665">
        <w:rPr>
          <w:rFonts w:ascii="Calibri" w:hAnsi="Calibri"/>
          <w:sz w:val="24"/>
          <w:szCs w:val="24"/>
        </w:rPr>
        <w:t xml:space="preserve">t </w:t>
      </w:r>
      <w:r w:rsidRPr="000A5665">
        <w:rPr>
          <w:rFonts w:ascii="Calibri" w:hAnsi="Calibri"/>
          <w:sz w:val="24"/>
          <w:szCs w:val="24"/>
        </w:rPr>
        <w:t>services.</w:t>
      </w:r>
    </w:p>
    <w:p w14:paraId="7F26BCC8" w14:textId="7D30A266" w:rsidR="005447E7" w:rsidRPr="000A5665" w:rsidRDefault="00845B10" w:rsidP="00845B10">
      <w:pPr>
        <w:pStyle w:val="Heading2"/>
        <w:numPr>
          <w:ilvl w:val="0"/>
          <w:numId w:val="0"/>
        </w:numPr>
        <w:rPr>
          <w:rFonts w:ascii="Calibri" w:hAnsi="Calibri"/>
          <w:color w:val="8331A7"/>
        </w:rPr>
      </w:pPr>
      <w:bookmarkStart w:id="4" w:name="_Toc199322299"/>
      <w:r w:rsidRPr="00845B10">
        <w:rPr>
          <w:rFonts w:ascii="Calibri" w:hAnsi="Calibri"/>
          <w:color w:val="8331A7"/>
        </w:rPr>
        <w:t>Aged care</w:t>
      </w:r>
      <w:bookmarkEnd w:id="4"/>
    </w:p>
    <w:p w14:paraId="3D4BA349" w14:textId="68C74F79" w:rsidR="00B4453F" w:rsidRDefault="005032C8" w:rsidP="005032C8">
      <w:pPr>
        <w:pStyle w:val="BodyText"/>
        <w:spacing w:line="312" w:lineRule="auto"/>
        <w:rPr>
          <w:rFonts w:ascii="Calibri" w:hAnsi="Calibri"/>
          <w:sz w:val="24"/>
          <w:szCs w:val="24"/>
        </w:rPr>
      </w:pPr>
      <w:r w:rsidRPr="005032C8">
        <w:rPr>
          <w:rFonts w:ascii="Calibri" w:hAnsi="Calibri"/>
          <w:sz w:val="24"/>
          <w:szCs w:val="24"/>
        </w:rPr>
        <w:t>The aged care sector supports older individuals with daily living and personal needs, either in their homes or in residential facilities when living independently is no longer possible. In-home care, or community-based care, helps people maintain independence through services like personal care, transport, meal preparation, and social inclusion. Residential care offers short-term (respite) or permanent (nursing home) options. Aged care services are delivered by both public and private organisations, and some services are funded by the Australian government.</w:t>
      </w:r>
    </w:p>
    <w:p w14:paraId="649011D4" w14:textId="214BF018" w:rsidR="003B5D0B" w:rsidRPr="000A5665" w:rsidRDefault="006B468F" w:rsidP="003B5D0B">
      <w:pPr>
        <w:pStyle w:val="Heading2"/>
        <w:numPr>
          <w:ilvl w:val="0"/>
          <w:numId w:val="0"/>
        </w:numPr>
        <w:rPr>
          <w:rFonts w:ascii="Calibri" w:hAnsi="Calibri"/>
          <w:color w:val="8331A7"/>
        </w:rPr>
      </w:pPr>
      <w:bookmarkStart w:id="5" w:name="_Toc199322300"/>
      <w:r w:rsidRPr="006B468F">
        <w:rPr>
          <w:rFonts w:ascii="Calibri" w:hAnsi="Calibri"/>
          <w:color w:val="8331A7"/>
        </w:rPr>
        <w:t>Disability support</w:t>
      </w:r>
      <w:bookmarkEnd w:id="5"/>
    </w:p>
    <w:p w14:paraId="0608CEDB" w14:textId="33627DB5" w:rsidR="003B5D0B" w:rsidRDefault="00C2582F" w:rsidP="003B5D0B">
      <w:pPr>
        <w:pStyle w:val="BodyText"/>
        <w:spacing w:line="312" w:lineRule="auto"/>
        <w:rPr>
          <w:rFonts w:ascii="Calibri" w:hAnsi="Calibri"/>
          <w:sz w:val="24"/>
          <w:szCs w:val="24"/>
        </w:rPr>
      </w:pPr>
      <w:r w:rsidRPr="00C2582F">
        <w:rPr>
          <w:rFonts w:ascii="Calibri" w:hAnsi="Calibri"/>
          <w:sz w:val="24"/>
          <w:szCs w:val="24"/>
        </w:rPr>
        <w:t xml:space="preserve">Disability supports in Australia </w:t>
      </w:r>
      <w:proofErr w:type="gramStart"/>
      <w:r w:rsidRPr="00C2582F">
        <w:rPr>
          <w:rFonts w:ascii="Calibri" w:hAnsi="Calibri"/>
          <w:sz w:val="24"/>
          <w:szCs w:val="24"/>
        </w:rPr>
        <w:t>provide assistance to</w:t>
      </w:r>
      <w:proofErr w:type="gramEnd"/>
      <w:r w:rsidRPr="00C2582F">
        <w:rPr>
          <w:rFonts w:ascii="Calibri" w:hAnsi="Calibri"/>
          <w:sz w:val="24"/>
          <w:szCs w:val="24"/>
        </w:rPr>
        <w:t xml:space="preserve"> individuals to meet their needs for community inclusion and wellbeing. Disability supports are primarily provided through the National Disability Insurance Scheme (NDIS), which funds eligible individuals to access care, treatment, and services that promote independence, skill development, employment, and quality of life. Funded activities include health supports, community participation, and educational opportunities. The NDIS has transformed the funding and delivery of disability services, supporting over 500,000 Australians with access to high-quality, </w:t>
      </w:r>
      <w:r w:rsidRPr="00C2582F">
        <w:rPr>
          <w:rFonts w:ascii="Calibri" w:hAnsi="Calibri"/>
          <w:sz w:val="24"/>
          <w:szCs w:val="24"/>
        </w:rPr>
        <w:lastRenderedPageBreak/>
        <w:t>professional services across various settings such as residential care, supported living, community programs, and in-home support.</w:t>
      </w:r>
    </w:p>
    <w:p w14:paraId="47AAA9F5" w14:textId="6542A451" w:rsidR="00C57A98" w:rsidRPr="000A5665" w:rsidRDefault="008F1355" w:rsidP="00C57A98">
      <w:pPr>
        <w:pStyle w:val="Heading2"/>
        <w:numPr>
          <w:ilvl w:val="0"/>
          <w:numId w:val="0"/>
        </w:numPr>
        <w:rPr>
          <w:rFonts w:ascii="Calibri" w:hAnsi="Calibri"/>
          <w:color w:val="8331A7"/>
        </w:rPr>
      </w:pPr>
      <w:bookmarkStart w:id="6" w:name="_Toc199322301"/>
      <w:r w:rsidRPr="008F1355">
        <w:rPr>
          <w:rFonts w:ascii="Calibri" w:hAnsi="Calibri"/>
          <w:color w:val="8331A7"/>
        </w:rPr>
        <w:t>Veteran’s care</w:t>
      </w:r>
      <w:bookmarkEnd w:id="6"/>
    </w:p>
    <w:p w14:paraId="277ED47E" w14:textId="6FC3B4FD" w:rsidR="00C57A98" w:rsidRDefault="002F3427" w:rsidP="003B5D0B">
      <w:pPr>
        <w:pStyle w:val="BodyText"/>
        <w:spacing w:line="312" w:lineRule="auto"/>
        <w:rPr>
          <w:rFonts w:ascii="Calibri" w:hAnsi="Calibri"/>
          <w:sz w:val="24"/>
          <w:szCs w:val="24"/>
        </w:rPr>
      </w:pPr>
      <w:r w:rsidRPr="002F3427">
        <w:rPr>
          <w:rFonts w:ascii="Calibri" w:hAnsi="Calibri"/>
          <w:sz w:val="24"/>
          <w:szCs w:val="24"/>
        </w:rPr>
        <w:t>Veterans’ care in Australia supports current and former defence personnel, including war widows/widowers, primarily through the Department of Veterans Affairs (DVA). DVA collaborates with government agencies, private and not-for-profit organisations, and ex-service organisations to deliver services such as physical and mental health care, counselling, rehabilitation, employment programs, and community connection. Support is provided through in-home and community care, with limited residential facilities available.</w:t>
      </w:r>
    </w:p>
    <w:p w14:paraId="623030F8" w14:textId="4911EB58" w:rsidR="00F029F7" w:rsidRPr="000A5665" w:rsidRDefault="005118AA" w:rsidP="00F029F7">
      <w:pPr>
        <w:pStyle w:val="Heading2"/>
        <w:numPr>
          <w:ilvl w:val="0"/>
          <w:numId w:val="0"/>
        </w:numPr>
        <w:rPr>
          <w:rFonts w:ascii="Calibri" w:hAnsi="Calibri"/>
          <w:color w:val="8331A7"/>
        </w:rPr>
      </w:pPr>
      <w:bookmarkStart w:id="7" w:name="_Toc199322302"/>
      <w:r w:rsidRPr="005118AA">
        <w:rPr>
          <w:rFonts w:ascii="Calibri" w:hAnsi="Calibri"/>
          <w:color w:val="8331A7"/>
        </w:rPr>
        <w:t>The care and support workforce</w:t>
      </w:r>
      <w:bookmarkEnd w:id="7"/>
    </w:p>
    <w:p w14:paraId="72FBD3DA" w14:textId="09BD0314" w:rsidR="00525C23" w:rsidRDefault="00562050" w:rsidP="003B5D0B">
      <w:pPr>
        <w:pStyle w:val="BodyText"/>
        <w:spacing w:line="312" w:lineRule="auto"/>
        <w:rPr>
          <w:rFonts w:ascii="Calibri" w:hAnsi="Calibri"/>
          <w:sz w:val="24"/>
          <w:szCs w:val="24"/>
        </w:rPr>
      </w:pPr>
      <w:r w:rsidRPr="00562050">
        <w:rPr>
          <w:rFonts w:ascii="Calibri" w:hAnsi="Calibri"/>
          <w:sz w:val="24"/>
          <w:szCs w:val="24"/>
        </w:rPr>
        <w:t>The care and support workforce represents a significant proportion of Australia’s economy. Collectively, the sector employed approximately 600,000 workers in 2021 and is expected to grow to 1 million by 2049-50 and projected government investment is expected to increase from $103 billion in 2024-25 to $124 billion by 2027-28</w:t>
      </w:r>
      <w:r w:rsidR="007D3956">
        <w:rPr>
          <w:rStyle w:val="FootnoteReference"/>
          <w:rFonts w:ascii="Calibri" w:hAnsi="Calibri"/>
          <w:sz w:val="24"/>
          <w:szCs w:val="24"/>
        </w:rPr>
        <w:footnoteReference w:id="1"/>
      </w:r>
      <w:r w:rsidRPr="00562050">
        <w:rPr>
          <w:rFonts w:ascii="Calibri" w:hAnsi="Calibri"/>
          <w:sz w:val="24"/>
          <w:szCs w:val="24"/>
        </w:rPr>
        <w:t xml:space="preserve">. </w:t>
      </w:r>
    </w:p>
    <w:p w14:paraId="0F08DDC3" w14:textId="092F3473" w:rsidR="00F029F7" w:rsidRDefault="00562050" w:rsidP="003B5D0B">
      <w:pPr>
        <w:pStyle w:val="BodyText"/>
        <w:spacing w:line="312" w:lineRule="auto"/>
        <w:rPr>
          <w:rFonts w:ascii="Calibri" w:hAnsi="Calibri"/>
          <w:sz w:val="24"/>
          <w:szCs w:val="24"/>
        </w:rPr>
      </w:pPr>
      <w:r w:rsidRPr="00562050">
        <w:rPr>
          <w:rFonts w:ascii="Calibri" w:hAnsi="Calibri"/>
          <w:sz w:val="24"/>
          <w:szCs w:val="24"/>
        </w:rPr>
        <w:t>Significant skills and labour market shortages in the sector are impacting the delivery of services to the Australian community. Key factors contributing to workforce shortages include:</w:t>
      </w:r>
    </w:p>
    <w:p w14:paraId="60C9CD03" w14:textId="77777777" w:rsidR="005818B0" w:rsidRDefault="005818B0" w:rsidP="005818B0">
      <w:pPr>
        <w:pStyle w:val="BodyText"/>
        <w:numPr>
          <w:ilvl w:val="0"/>
          <w:numId w:val="95"/>
        </w:numPr>
        <w:spacing w:line="312" w:lineRule="auto"/>
        <w:rPr>
          <w:rFonts w:ascii="Calibri" w:hAnsi="Calibri"/>
          <w:sz w:val="24"/>
          <w:szCs w:val="24"/>
        </w:rPr>
      </w:pPr>
      <w:r w:rsidRPr="00EE02AB">
        <w:rPr>
          <w:rFonts w:ascii="Calibri" w:hAnsi="Calibri"/>
          <w:b/>
          <w:bCs/>
          <w:sz w:val="24"/>
          <w:szCs w:val="24"/>
        </w:rPr>
        <w:t>Attracting students to study</w:t>
      </w:r>
      <w:r w:rsidRPr="005818B0">
        <w:rPr>
          <w:rFonts w:ascii="Calibri" w:hAnsi="Calibri"/>
          <w:sz w:val="24"/>
          <w:szCs w:val="24"/>
        </w:rPr>
        <w:t xml:space="preserve"> – Limited awareness of career opportunities, poor perception of the sector such as inadequate pay and limited career development opportunities, upfront costs of training and placement poverty among students’ impact on the willingness of students to undertake study in the care and support sector. </w:t>
      </w:r>
    </w:p>
    <w:p w14:paraId="7507FD44" w14:textId="77777777" w:rsidR="005818B0" w:rsidRDefault="005818B0" w:rsidP="005818B0">
      <w:pPr>
        <w:pStyle w:val="BodyText"/>
        <w:numPr>
          <w:ilvl w:val="0"/>
          <w:numId w:val="95"/>
        </w:numPr>
        <w:spacing w:line="312" w:lineRule="auto"/>
        <w:rPr>
          <w:rFonts w:ascii="Calibri" w:hAnsi="Calibri"/>
          <w:sz w:val="24"/>
          <w:szCs w:val="24"/>
        </w:rPr>
      </w:pPr>
      <w:r w:rsidRPr="00EE02AB">
        <w:rPr>
          <w:rFonts w:ascii="Calibri" w:hAnsi="Calibri"/>
          <w:b/>
          <w:bCs/>
          <w:sz w:val="24"/>
          <w:szCs w:val="24"/>
        </w:rPr>
        <w:t>Attracting workers into employment</w:t>
      </w:r>
      <w:r w:rsidRPr="005818B0">
        <w:rPr>
          <w:rFonts w:ascii="Calibri" w:hAnsi="Calibri"/>
          <w:sz w:val="24"/>
          <w:szCs w:val="24"/>
        </w:rPr>
        <w:t xml:space="preserve"> – Historical stigma of care and support work as gendered or without opportunities, limited visibility of entry pathways into employment, differing employment conditions, and competition with other sectors that offer more competitive renumeration inhibit the ability for employers to attract workers. </w:t>
      </w:r>
    </w:p>
    <w:p w14:paraId="686B336F" w14:textId="77777777" w:rsidR="005818B0" w:rsidRDefault="005818B0" w:rsidP="005818B0">
      <w:pPr>
        <w:pStyle w:val="BodyText"/>
        <w:numPr>
          <w:ilvl w:val="0"/>
          <w:numId w:val="95"/>
        </w:numPr>
        <w:spacing w:line="312" w:lineRule="auto"/>
        <w:rPr>
          <w:rFonts w:ascii="Calibri" w:hAnsi="Calibri"/>
          <w:sz w:val="24"/>
          <w:szCs w:val="24"/>
        </w:rPr>
      </w:pPr>
      <w:r w:rsidRPr="00EE02AB">
        <w:rPr>
          <w:rFonts w:ascii="Calibri" w:hAnsi="Calibri"/>
          <w:b/>
          <w:bCs/>
          <w:sz w:val="24"/>
          <w:szCs w:val="24"/>
        </w:rPr>
        <w:t>Supporting career progression</w:t>
      </w:r>
      <w:r w:rsidRPr="005818B0">
        <w:rPr>
          <w:rFonts w:ascii="Calibri" w:hAnsi="Calibri"/>
          <w:sz w:val="24"/>
          <w:szCs w:val="24"/>
        </w:rPr>
        <w:t xml:space="preserve"> – Unclear job pathways, casualisation of the workforce, limited professional development and supervision structures all impact on growth and development of the workforce. Funding arrangements contribute to career pathways and structures, which can reduce retention. </w:t>
      </w:r>
    </w:p>
    <w:p w14:paraId="55B03939" w14:textId="71125C48" w:rsidR="003B5D0B" w:rsidRDefault="005818B0" w:rsidP="005818B0">
      <w:pPr>
        <w:pStyle w:val="BodyText"/>
        <w:numPr>
          <w:ilvl w:val="0"/>
          <w:numId w:val="95"/>
        </w:numPr>
        <w:spacing w:line="312" w:lineRule="auto"/>
        <w:rPr>
          <w:rFonts w:ascii="Calibri" w:hAnsi="Calibri"/>
          <w:sz w:val="24"/>
          <w:szCs w:val="24"/>
        </w:rPr>
      </w:pPr>
      <w:r w:rsidRPr="00EE02AB">
        <w:rPr>
          <w:rFonts w:ascii="Calibri" w:hAnsi="Calibri"/>
          <w:b/>
          <w:bCs/>
          <w:sz w:val="24"/>
          <w:szCs w:val="24"/>
        </w:rPr>
        <w:lastRenderedPageBreak/>
        <w:t>Retention in the care and support sector</w:t>
      </w:r>
      <w:r w:rsidRPr="005818B0">
        <w:rPr>
          <w:rFonts w:ascii="Calibri" w:hAnsi="Calibri"/>
          <w:sz w:val="24"/>
          <w:szCs w:val="24"/>
        </w:rPr>
        <w:t xml:space="preserve"> – Employment instability from short-term contracts or casual positions, a lack of paid leave, high workload levels, and workplace injuries lead to high turnover, with many workers leaving the sector permanently.</w:t>
      </w:r>
    </w:p>
    <w:p w14:paraId="5D2539B8" w14:textId="201866A0" w:rsidR="00C8610E" w:rsidRDefault="00C8610E" w:rsidP="00C8610E">
      <w:pPr>
        <w:pStyle w:val="BodyText"/>
        <w:spacing w:line="312" w:lineRule="auto"/>
        <w:rPr>
          <w:rFonts w:ascii="Calibri" w:hAnsi="Calibri"/>
          <w:sz w:val="24"/>
          <w:szCs w:val="24"/>
        </w:rPr>
      </w:pPr>
      <w:r w:rsidRPr="00C8610E">
        <w:rPr>
          <w:rFonts w:ascii="Calibri" w:hAnsi="Calibri"/>
          <w:sz w:val="24"/>
          <w:szCs w:val="24"/>
        </w:rPr>
        <w:t>While these challenges are real and faced country-wide, some employers have been able to develop innovative approaches to address these issues and support workforce growth and development.</w:t>
      </w:r>
    </w:p>
    <w:p w14:paraId="7A37ED35" w14:textId="5E59EDC7" w:rsidR="00F6097C" w:rsidRPr="000A5665" w:rsidRDefault="00477DD8" w:rsidP="00F6097C">
      <w:pPr>
        <w:pStyle w:val="Heading2"/>
        <w:numPr>
          <w:ilvl w:val="0"/>
          <w:numId w:val="0"/>
        </w:numPr>
        <w:rPr>
          <w:rFonts w:ascii="Calibri" w:hAnsi="Calibri"/>
          <w:color w:val="8331A7"/>
        </w:rPr>
      </w:pPr>
      <w:bookmarkStart w:id="8" w:name="_Toc199322303"/>
      <w:r w:rsidRPr="00477DD8">
        <w:rPr>
          <w:rFonts w:ascii="Calibri" w:hAnsi="Calibri"/>
          <w:color w:val="8331A7"/>
        </w:rPr>
        <w:t>The Good Practice Guide</w:t>
      </w:r>
      <w:bookmarkEnd w:id="8"/>
    </w:p>
    <w:p w14:paraId="3123785D" w14:textId="77777777" w:rsidR="00995B5C" w:rsidRDefault="009138AF" w:rsidP="005032C8">
      <w:pPr>
        <w:pStyle w:val="BodyText"/>
        <w:spacing w:line="312" w:lineRule="auto"/>
        <w:rPr>
          <w:rFonts w:ascii="Calibri" w:hAnsi="Calibri"/>
          <w:sz w:val="24"/>
          <w:szCs w:val="24"/>
        </w:rPr>
      </w:pPr>
      <w:r w:rsidRPr="009138AF">
        <w:rPr>
          <w:rFonts w:ascii="Calibri" w:hAnsi="Calibri"/>
          <w:sz w:val="24"/>
          <w:szCs w:val="24"/>
        </w:rPr>
        <w:t xml:space="preserve">This Good Practice Guide (the Guide) is designed to provide practical and actionable information by outlining insights into core issues, common barriers that employers may experience, and strategies that can be leveraged to improve outcomes in attraction, development and retention for the aged care, disability services and veterans’ care sectors. </w:t>
      </w:r>
    </w:p>
    <w:p w14:paraId="393593A9" w14:textId="77777777" w:rsidR="00995B5C" w:rsidRDefault="009138AF" w:rsidP="005032C8">
      <w:pPr>
        <w:pStyle w:val="BodyText"/>
        <w:spacing w:line="312" w:lineRule="auto"/>
        <w:rPr>
          <w:rFonts w:ascii="Calibri" w:hAnsi="Calibri"/>
          <w:sz w:val="24"/>
          <w:szCs w:val="24"/>
        </w:rPr>
      </w:pPr>
      <w:r w:rsidRPr="009138AF">
        <w:rPr>
          <w:rFonts w:ascii="Calibri" w:hAnsi="Calibri"/>
          <w:sz w:val="24"/>
          <w:szCs w:val="24"/>
        </w:rPr>
        <w:t xml:space="preserve">The Guide has been developed by HumanAbility, a not-for-profit, industry led organisation and one of a network of 10 Jobs and Skills Councils (JSCs) established in 2023 by the Australian Government. HumanAbility’s role is to help the care and support sector address skills and workforce challenges, bringing together employers, unions and governments to find solutions to these challenges. </w:t>
      </w:r>
    </w:p>
    <w:p w14:paraId="47A65140" w14:textId="38CD5B55" w:rsidR="003B5D0B" w:rsidRDefault="009138AF" w:rsidP="005032C8">
      <w:pPr>
        <w:pStyle w:val="BodyText"/>
        <w:spacing w:line="312" w:lineRule="auto"/>
        <w:rPr>
          <w:rFonts w:ascii="Calibri" w:hAnsi="Calibri"/>
          <w:sz w:val="24"/>
          <w:szCs w:val="24"/>
        </w:rPr>
      </w:pPr>
      <w:r w:rsidRPr="009138AF">
        <w:rPr>
          <w:rFonts w:ascii="Calibri" w:hAnsi="Calibri"/>
          <w:sz w:val="24"/>
          <w:szCs w:val="24"/>
        </w:rPr>
        <w:t>This Guide provides an overview of the workforce setting and roles in the care and support sector, summarises current workforce issues, and presents solutions at a high level. Detailed case studies, developed in consultation with industry employers, are provided for further reference. The purpose of the case studies is to provide examples to inspire improvement, but it is recognised that they represent only some of the potential strategies for addressing the issues.</w:t>
      </w:r>
    </w:p>
    <w:p w14:paraId="1F8CB2E7" w14:textId="1BF4CE0F" w:rsidR="00626C83" w:rsidRPr="000A5665" w:rsidRDefault="00A82EFF" w:rsidP="00626C83">
      <w:pPr>
        <w:pStyle w:val="Heading2"/>
        <w:numPr>
          <w:ilvl w:val="0"/>
          <w:numId w:val="0"/>
        </w:numPr>
        <w:rPr>
          <w:rFonts w:ascii="Calibri" w:hAnsi="Calibri"/>
          <w:color w:val="8331A7"/>
        </w:rPr>
      </w:pPr>
      <w:bookmarkStart w:id="9" w:name="_Toc199322304"/>
      <w:r w:rsidRPr="00A82EFF">
        <w:rPr>
          <w:rFonts w:ascii="Calibri" w:hAnsi="Calibri"/>
          <w:color w:val="8331A7"/>
        </w:rPr>
        <w:t>Using the Good Practice Guide</w:t>
      </w:r>
      <w:bookmarkEnd w:id="9"/>
    </w:p>
    <w:p w14:paraId="686A9AA5" w14:textId="77777777" w:rsidR="009354BA" w:rsidRDefault="00137BB6" w:rsidP="005032C8">
      <w:pPr>
        <w:pStyle w:val="BodyText"/>
        <w:spacing w:line="312" w:lineRule="auto"/>
        <w:rPr>
          <w:rFonts w:ascii="Calibri" w:hAnsi="Calibri"/>
          <w:sz w:val="24"/>
          <w:szCs w:val="24"/>
        </w:rPr>
      </w:pPr>
      <w:r w:rsidRPr="00137BB6">
        <w:rPr>
          <w:rFonts w:ascii="Calibri" w:hAnsi="Calibri"/>
          <w:sz w:val="24"/>
          <w:szCs w:val="24"/>
        </w:rPr>
        <w:t xml:space="preserve">This Guide is intended to be read and used by employers in the aged care, disability services and veterans’ care sectors, and the peak bodies that represent them. It covers key issues and opportunities across attraction, recruitment and retention as illustrated below. </w:t>
      </w:r>
    </w:p>
    <w:p w14:paraId="663F2574" w14:textId="250FC0F7" w:rsidR="00626C83" w:rsidRDefault="00137BB6" w:rsidP="005032C8">
      <w:pPr>
        <w:pStyle w:val="BodyText"/>
        <w:spacing w:line="312" w:lineRule="auto"/>
        <w:rPr>
          <w:rFonts w:ascii="Calibri" w:hAnsi="Calibri"/>
          <w:sz w:val="24"/>
          <w:szCs w:val="24"/>
        </w:rPr>
      </w:pPr>
      <w:r w:rsidRPr="00137BB6">
        <w:rPr>
          <w:rFonts w:ascii="Calibri" w:hAnsi="Calibri"/>
          <w:sz w:val="24"/>
          <w:szCs w:val="24"/>
        </w:rPr>
        <w:t>Employers are encouraged to reflect on the issues they are facing and explore the effective strategies implemented by others in the sections referenced.</w:t>
      </w:r>
    </w:p>
    <w:p w14:paraId="77D3EBFD" w14:textId="77777777" w:rsidR="007C1EEE" w:rsidRDefault="007C1EEE" w:rsidP="005032C8">
      <w:pPr>
        <w:pStyle w:val="BodyText"/>
        <w:spacing w:line="312" w:lineRule="auto"/>
        <w:rPr>
          <w:rFonts w:ascii="Calibri" w:hAnsi="Calibri"/>
          <w:sz w:val="24"/>
          <w:szCs w:val="24"/>
        </w:rPr>
      </w:pPr>
    </w:p>
    <w:p w14:paraId="6B2BA3E6" w14:textId="77777777" w:rsidR="007C1EEE" w:rsidRPr="000A5665" w:rsidRDefault="007C1EEE" w:rsidP="005032C8">
      <w:pPr>
        <w:pStyle w:val="BodyText"/>
        <w:spacing w:line="312" w:lineRule="auto"/>
        <w:rPr>
          <w:rFonts w:ascii="Calibri" w:hAnsi="Calibri"/>
          <w:sz w:val="24"/>
          <w:szCs w:val="24"/>
        </w:rPr>
      </w:pPr>
    </w:p>
    <w:p w14:paraId="4393DB56" w14:textId="77777777" w:rsidR="005C54AF" w:rsidRDefault="005C54AF" w:rsidP="005C54AF">
      <w:pPr>
        <w:pStyle w:val="BodyText"/>
      </w:pPr>
    </w:p>
    <w:tbl>
      <w:tblPr>
        <w:tblStyle w:val="aacTableBasic"/>
        <w:tblW w:w="5000" w:type="pct"/>
        <w:tblLayout w:type="fixed"/>
        <w:tblLook w:val="04A0" w:firstRow="1" w:lastRow="0" w:firstColumn="1" w:lastColumn="0" w:noHBand="0" w:noVBand="1"/>
      </w:tblPr>
      <w:tblGrid>
        <w:gridCol w:w="5233"/>
        <w:gridCol w:w="5233"/>
      </w:tblGrid>
      <w:tr w:rsidR="00E93CCC" w:rsidRPr="007C086F" w14:paraId="23EED28C" w14:textId="77777777" w:rsidTr="00CE73AD">
        <w:trPr>
          <w:cnfStyle w:val="100000000000" w:firstRow="1" w:lastRow="0" w:firstColumn="0" w:lastColumn="0" w:oddVBand="0" w:evenVBand="0" w:oddHBand="0" w:evenHBand="0" w:firstRowFirstColumn="0" w:firstRowLastColumn="0" w:lastRowFirstColumn="0" w:lastRowLastColumn="0"/>
          <w:cantSplit/>
          <w:tblHeader/>
        </w:trPr>
        <w:tc>
          <w:tcPr>
            <w:tcW w:w="4333" w:type="dxa"/>
            <w:shd w:val="clear" w:color="auto" w:fill="2E4E43"/>
          </w:tcPr>
          <w:p w14:paraId="061037F7" w14:textId="77777777" w:rsidR="00E93CCC" w:rsidRPr="00E93CCC" w:rsidRDefault="00E93CCC" w:rsidP="00B166F9">
            <w:pPr>
              <w:pStyle w:val="Tablecolumnheadings"/>
              <w:rPr>
                <w:rFonts w:ascii="Calibri" w:hAnsi="Calibri" w:cs="Calibri"/>
                <w:sz w:val="24"/>
                <w:szCs w:val="24"/>
              </w:rPr>
            </w:pPr>
            <w:r w:rsidRPr="00E93CCC">
              <w:rPr>
                <w:rFonts w:ascii="Calibri" w:hAnsi="Calibri" w:cs="Calibri"/>
                <w:sz w:val="24"/>
                <w:szCs w:val="24"/>
              </w:rPr>
              <w:lastRenderedPageBreak/>
              <w:t>What issue are you facing</w:t>
            </w:r>
          </w:p>
        </w:tc>
        <w:tc>
          <w:tcPr>
            <w:tcW w:w="4333" w:type="dxa"/>
            <w:shd w:val="clear" w:color="auto" w:fill="2E4E43"/>
          </w:tcPr>
          <w:p w14:paraId="373FC17E" w14:textId="77777777" w:rsidR="00E93CCC" w:rsidRPr="00E93CCC" w:rsidRDefault="00E93CCC" w:rsidP="00B166F9">
            <w:pPr>
              <w:pStyle w:val="Tablecolumnheadings"/>
              <w:rPr>
                <w:rFonts w:ascii="Calibri" w:hAnsi="Calibri" w:cs="Calibri"/>
                <w:sz w:val="24"/>
                <w:szCs w:val="24"/>
              </w:rPr>
            </w:pPr>
            <w:r w:rsidRPr="00E93CCC">
              <w:rPr>
                <w:rFonts w:ascii="Calibri" w:hAnsi="Calibri" w:cs="Calibri"/>
                <w:sz w:val="24"/>
                <w:szCs w:val="24"/>
              </w:rPr>
              <w:t>Section in this document where can you find help</w:t>
            </w:r>
          </w:p>
        </w:tc>
      </w:tr>
      <w:tr w:rsidR="00E93CCC" w14:paraId="7225F310" w14:textId="77777777" w:rsidTr="00CE73AD">
        <w:trPr>
          <w:cantSplit/>
        </w:trPr>
        <w:tc>
          <w:tcPr>
            <w:tcW w:w="4333" w:type="dxa"/>
            <w:shd w:val="clear" w:color="auto" w:fill="EAF1ED"/>
          </w:tcPr>
          <w:p w14:paraId="1C0FFB2F" w14:textId="77777777" w:rsidR="00E93CCC" w:rsidRPr="00E93CCC" w:rsidRDefault="00E93CCC" w:rsidP="00A7085E">
            <w:pPr>
              <w:pStyle w:val="Tabletext"/>
              <w:spacing w:line="320" w:lineRule="exact"/>
              <w:rPr>
                <w:rFonts w:ascii="Calibri" w:hAnsi="Calibri" w:cs="Calibri"/>
                <w:sz w:val="24"/>
                <w:szCs w:val="24"/>
              </w:rPr>
            </w:pPr>
            <w:r w:rsidRPr="00E93CCC">
              <w:rPr>
                <w:rFonts w:ascii="Calibri" w:hAnsi="Calibri" w:cs="Calibri"/>
                <w:sz w:val="24"/>
                <w:szCs w:val="24"/>
              </w:rPr>
              <w:t>Not enough applicants for jobs</w:t>
            </w:r>
          </w:p>
        </w:tc>
        <w:tc>
          <w:tcPr>
            <w:tcW w:w="4333" w:type="dxa"/>
          </w:tcPr>
          <w:p w14:paraId="2C240800" w14:textId="77777777" w:rsidR="00E93CCC" w:rsidRPr="00E93CCC" w:rsidRDefault="00E93CCC" w:rsidP="00A7085E">
            <w:pPr>
              <w:pStyle w:val="Tabletext"/>
              <w:spacing w:line="320" w:lineRule="exact"/>
              <w:rPr>
                <w:rFonts w:ascii="Calibri" w:hAnsi="Calibri" w:cs="Calibri"/>
                <w:sz w:val="24"/>
                <w:szCs w:val="24"/>
              </w:rPr>
            </w:pPr>
            <w:r w:rsidRPr="00E93CCC">
              <w:rPr>
                <w:rFonts w:ascii="Calibri" w:hAnsi="Calibri" w:cs="Calibri"/>
                <w:sz w:val="24"/>
                <w:szCs w:val="24"/>
              </w:rPr>
              <w:t>2A – Visibility of pathways</w:t>
            </w:r>
          </w:p>
          <w:p w14:paraId="7D53BE3D" w14:textId="77777777" w:rsidR="00E93CCC" w:rsidRPr="00E93CCC" w:rsidRDefault="00E93CCC" w:rsidP="00A7085E">
            <w:pPr>
              <w:pStyle w:val="Tabletext"/>
              <w:spacing w:line="320" w:lineRule="exact"/>
              <w:rPr>
                <w:rFonts w:ascii="Calibri" w:hAnsi="Calibri" w:cs="Calibri"/>
                <w:sz w:val="24"/>
                <w:szCs w:val="24"/>
              </w:rPr>
            </w:pPr>
            <w:r w:rsidRPr="00E93CCC">
              <w:rPr>
                <w:rFonts w:ascii="Calibri" w:hAnsi="Calibri" w:cs="Calibri"/>
                <w:sz w:val="24"/>
                <w:szCs w:val="24"/>
              </w:rPr>
              <w:t>2B – Strengths of the sector</w:t>
            </w:r>
          </w:p>
          <w:p w14:paraId="10B62CFD" w14:textId="77777777" w:rsidR="00E93CCC" w:rsidRPr="00E93CCC" w:rsidRDefault="00E93CCC" w:rsidP="00A7085E">
            <w:pPr>
              <w:pStyle w:val="Tabletext"/>
              <w:spacing w:line="320" w:lineRule="exact"/>
              <w:rPr>
                <w:rFonts w:ascii="Calibri" w:hAnsi="Calibri" w:cs="Calibri"/>
                <w:sz w:val="24"/>
                <w:szCs w:val="24"/>
              </w:rPr>
            </w:pPr>
            <w:r w:rsidRPr="00E93CCC">
              <w:rPr>
                <w:rFonts w:ascii="Calibri" w:hAnsi="Calibri" w:cs="Calibri"/>
                <w:sz w:val="24"/>
                <w:szCs w:val="24"/>
              </w:rPr>
              <w:t>5A – RTO open days</w:t>
            </w:r>
          </w:p>
          <w:p w14:paraId="37E89EEE" w14:textId="77777777" w:rsidR="00E93CCC" w:rsidRPr="00E93CCC" w:rsidRDefault="00E93CCC" w:rsidP="00A7085E">
            <w:pPr>
              <w:pStyle w:val="Tabletext"/>
              <w:spacing w:line="320" w:lineRule="exact"/>
              <w:rPr>
                <w:rFonts w:ascii="Calibri" w:hAnsi="Calibri" w:cs="Calibri"/>
                <w:sz w:val="24"/>
                <w:szCs w:val="24"/>
              </w:rPr>
            </w:pPr>
            <w:r w:rsidRPr="00E93CCC">
              <w:rPr>
                <w:rFonts w:ascii="Calibri" w:hAnsi="Calibri" w:cs="Calibri"/>
                <w:sz w:val="24"/>
                <w:szCs w:val="24"/>
              </w:rPr>
              <w:t>5B – School visits</w:t>
            </w:r>
          </w:p>
        </w:tc>
      </w:tr>
      <w:tr w:rsidR="00E93CCC" w14:paraId="6B517EB2" w14:textId="77777777" w:rsidTr="00CE73AD">
        <w:trPr>
          <w:cantSplit/>
        </w:trPr>
        <w:tc>
          <w:tcPr>
            <w:tcW w:w="4333" w:type="dxa"/>
            <w:shd w:val="clear" w:color="auto" w:fill="EAF1ED"/>
          </w:tcPr>
          <w:p w14:paraId="34EAAE84" w14:textId="77777777" w:rsidR="00E93CCC" w:rsidRPr="00E93CCC" w:rsidRDefault="00E93CCC" w:rsidP="00A7085E">
            <w:pPr>
              <w:pStyle w:val="Tabletext"/>
              <w:spacing w:line="320" w:lineRule="exact"/>
              <w:rPr>
                <w:rFonts w:ascii="Calibri" w:hAnsi="Calibri" w:cs="Calibri"/>
                <w:sz w:val="24"/>
                <w:szCs w:val="24"/>
              </w:rPr>
            </w:pPr>
            <w:r w:rsidRPr="00E93CCC">
              <w:rPr>
                <w:rFonts w:ascii="Calibri" w:hAnsi="Calibri" w:cs="Calibri"/>
                <w:sz w:val="24"/>
                <w:szCs w:val="24"/>
              </w:rPr>
              <w:t>Applicants needing additional support</w:t>
            </w:r>
          </w:p>
        </w:tc>
        <w:tc>
          <w:tcPr>
            <w:tcW w:w="4333" w:type="dxa"/>
          </w:tcPr>
          <w:p w14:paraId="2A35C19D" w14:textId="77777777" w:rsidR="00E93CCC" w:rsidRPr="00E93CCC" w:rsidRDefault="00E93CCC" w:rsidP="00A7085E">
            <w:pPr>
              <w:pStyle w:val="Tabletext"/>
              <w:spacing w:line="320" w:lineRule="exact"/>
              <w:rPr>
                <w:rFonts w:ascii="Calibri" w:hAnsi="Calibri" w:cs="Calibri"/>
                <w:sz w:val="24"/>
                <w:szCs w:val="24"/>
              </w:rPr>
            </w:pPr>
            <w:r w:rsidRPr="00E93CCC">
              <w:rPr>
                <w:rFonts w:ascii="Calibri" w:hAnsi="Calibri" w:cs="Calibri"/>
                <w:sz w:val="24"/>
                <w:szCs w:val="24"/>
              </w:rPr>
              <w:t>2C – Wrap around supports</w:t>
            </w:r>
          </w:p>
        </w:tc>
      </w:tr>
      <w:tr w:rsidR="00E93CCC" w14:paraId="6AB0DD85" w14:textId="77777777" w:rsidTr="00CE73AD">
        <w:trPr>
          <w:cantSplit/>
        </w:trPr>
        <w:tc>
          <w:tcPr>
            <w:tcW w:w="4333" w:type="dxa"/>
            <w:shd w:val="clear" w:color="auto" w:fill="EAF1ED"/>
          </w:tcPr>
          <w:p w14:paraId="30766AA0" w14:textId="77777777" w:rsidR="00E93CCC" w:rsidRPr="00E93CCC" w:rsidRDefault="00E93CCC" w:rsidP="00A7085E">
            <w:pPr>
              <w:pStyle w:val="Tabletext"/>
              <w:spacing w:line="320" w:lineRule="exact"/>
              <w:rPr>
                <w:rFonts w:ascii="Calibri" w:hAnsi="Calibri" w:cs="Calibri"/>
                <w:sz w:val="24"/>
                <w:szCs w:val="24"/>
              </w:rPr>
            </w:pPr>
            <w:r w:rsidRPr="00E93CCC">
              <w:rPr>
                <w:rFonts w:ascii="Calibri" w:hAnsi="Calibri" w:cs="Calibri"/>
                <w:sz w:val="24"/>
                <w:szCs w:val="24"/>
              </w:rPr>
              <w:t>Applicants without the right values or qualities</w:t>
            </w:r>
          </w:p>
        </w:tc>
        <w:tc>
          <w:tcPr>
            <w:tcW w:w="4333" w:type="dxa"/>
          </w:tcPr>
          <w:p w14:paraId="49E54E9F" w14:textId="77777777" w:rsidR="00E93CCC" w:rsidRPr="00E93CCC" w:rsidRDefault="00E93CCC" w:rsidP="00A7085E">
            <w:pPr>
              <w:pStyle w:val="Tabletext"/>
              <w:spacing w:line="320" w:lineRule="exact"/>
              <w:rPr>
                <w:rFonts w:ascii="Calibri" w:hAnsi="Calibri" w:cs="Calibri"/>
                <w:sz w:val="24"/>
                <w:szCs w:val="24"/>
              </w:rPr>
            </w:pPr>
            <w:r w:rsidRPr="00E93CCC">
              <w:rPr>
                <w:rFonts w:ascii="Calibri" w:hAnsi="Calibri" w:cs="Calibri"/>
                <w:sz w:val="24"/>
                <w:szCs w:val="24"/>
              </w:rPr>
              <w:t>2D – Pre-employment programs</w:t>
            </w:r>
          </w:p>
          <w:p w14:paraId="7D060313" w14:textId="77777777" w:rsidR="00E93CCC" w:rsidRPr="00E93CCC" w:rsidRDefault="00E93CCC" w:rsidP="00A7085E">
            <w:pPr>
              <w:pStyle w:val="Tabletext"/>
              <w:spacing w:line="320" w:lineRule="exact"/>
              <w:rPr>
                <w:rFonts w:ascii="Calibri" w:hAnsi="Calibri" w:cs="Calibri"/>
                <w:sz w:val="24"/>
                <w:szCs w:val="24"/>
              </w:rPr>
            </w:pPr>
            <w:r w:rsidRPr="00E93CCC">
              <w:rPr>
                <w:rFonts w:ascii="Calibri" w:hAnsi="Calibri" w:cs="Calibri"/>
                <w:sz w:val="24"/>
                <w:szCs w:val="24"/>
              </w:rPr>
              <w:t>2E – Values based recruitment</w:t>
            </w:r>
          </w:p>
        </w:tc>
      </w:tr>
      <w:tr w:rsidR="00E93CCC" w14:paraId="0DD0BBBC" w14:textId="77777777" w:rsidTr="00CE73AD">
        <w:trPr>
          <w:cantSplit/>
        </w:trPr>
        <w:tc>
          <w:tcPr>
            <w:tcW w:w="4333" w:type="dxa"/>
            <w:shd w:val="clear" w:color="auto" w:fill="EAF1ED"/>
          </w:tcPr>
          <w:p w14:paraId="1E2F2DA1" w14:textId="77777777" w:rsidR="00E93CCC" w:rsidRPr="00E93CCC" w:rsidRDefault="00E93CCC" w:rsidP="00A7085E">
            <w:pPr>
              <w:pStyle w:val="Tabletext"/>
              <w:spacing w:line="320" w:lineRule="exact"/>
              <w:rPr>
                <w:rFonts w:ascii="Calibri" w:hAnsi="Calibri" w:cs="Calibri"/>
                <w:sz w:val="24"/>
                <w:szCs w:val="24"/>
              </w:rPr>
            </w:pPr>
            <w:r w:rsidRPr="00E93CCC">
              <w:rPr>
                <w:rFonts w:ascii="Calibri" w:hAnsi="Calibri" w:cs="Calibri"/>
                <w:sz w:val="24"/>
                <w:szCs w:val="24"/>
              </w:rPr>
              <w:t>Difficulties with traineeships</w:t>
            </w:r>
          </w:p>
        </w:tc>
        <w:tc>
          <w:tcPr>
            <w:tcW w:w="4333" w:type="dxa"/>
          </w:tcPr>
          <w:p w14:paraId="12F64C10" w14:textId="77777777" w:rsidR="00E93CCC" w:rsidRPr="00E93CCC" w:rsidRDefault="00E93CCC" w:rsidP="00A7085E">
            <w:pPr>
              <w:pStyle w:val="Tabletext"/>
              <w:spacing w:line="320" w:lineRule="exact"/>
              <w:rPr>
                <w:rFonts w:ascii="Calibri" w:hAnsi="Calibri" w:cs="Calibri"/>
                <w:sz w:val="24"/>
                <w:szCs w:val="24"/>
              </w:rPr>
            </w:pPr>
            <w:r w:rsidRPr="00E93CCC">
              <w:rPr>
                <w:rFonts w:ascii="Calibri" w:hAnsi="Calibri" w:cs="Calibri"/>
                <w:sz w:val="24"/>
                <w:szCs w:val="24"/>
              </w:rPr>
              <w:t xml:space="preserve">Case study – Skilled Care </w:t>
            </w:r>
          </w:p>
        </w:tc>
      </w:tr>
      <w:tr w:rsidR="00E93CCC" w14:paraId="58F16FD8" w14:textId="77777777" w:rsidTr="00CE73AD">
        <w:trPr>
          <w:cantSplit/>
        </w:trPr>
        <w:tc>
          <w:tcPr>
            <w:tcW w:w="4333" w:type="dxa"/>
            <w:shd w:val="clear" w:color="auto" w:fill="EAF1ED"/>
          </w:tcPr>
          <w:p w14:paraId="1BBEDE6F" w14:textId="77777777" w:rsidR="00E93CCC" w:rsidRPr="00E93CCC" w:rsidRDefault="00E93CCC" w:rsidP="00A7085E">
            <w:pPr>
              <w:pStyle w:val="Tabletext"/>
              <w:spacing w:line="320" w:lineRule="exact"/>
              <w:rPr>
                <w:rFonts w:ascii="Calibri" w:hAnsi="Calibri" w:cs="Calibri"/>
                <w:sz w:val="24"/>
                <w:szCs w:val="24"/>
              </w:rPr>
            </w:pPr>
            <w:r w:rsidRPr="00E93CCC">
              <w:rPr>
                <w:rFonts w:ascii="Calibri" w:hAnsi="Calibri" w:cs="Calibri"/>
                <w:sz w:val="24"/>
                <w:szCs w:val="24"/>
              </w:rPr>
              <w:t>Difficult supporting students on placements</w:t>
            </w:r>
          </w:p>
        </w:tc>
        <w:tc>
          <w:tcPr>
            <w:tcW w:w="4333" w:type="dxa"/>
          </w:tcPr>
          <w:p w14:paraId="04681894" w14:textId="77777777" w:rsidR="00E93CCC" w:rsidRPr="00E93CCC" w:rsidRDefault="00E93CCC" w:rsidP="00A7085E">
            <w:pPr>
              <w:pStyle w:val="Tabletext"/>
              <w:spacing w:line="320" w:lineRule="exact"/>
              <w:rPr>
                <w:rFonts w:ascii="Calibri" w:hAnsi="Calibri" w:cs="Calibri"/>
                <w:sz w:val="24"/>
                <w:szCs w:val="24"/>
              </w:rPr>
            </w:pPr>
            <w:r w:rsidRPr="00E93CCC">
              <w:rPr>
                <w:rFonts w:ascii="Calibri" w:hAnsi="Calibri" w:cs="Calibri"/>
                <w:sz w:val="24"/>
                <w:szCs w:val="24"/>
              </w:rPr>
              <w:t xml:space="preserve">3A – Partnership approaches </w:t>
            </w:r>
          </w:p>
          <w:p w14:paraId="2883877C" w14:textId="77777777" w:rsidR="00E93CCC" w:rsidRPr="00E93CCC" w:rsidRDefault="00E93CCC" w:rsidP="00A7085E">
            <w:pPr>
              <w:pStyle w:val="Tabletext"/>
              <w:spacing w:line="320" w:lineRule="exact"/>
              <w:rPr>
                <w:rFonts w:ascii="Calibri" w:hAnsi="Calibri" w:cs="Calibri"/>
                <w:sz w:val="24"/>
                <w:szCs w:val="24"/>
              </w:rPr>
            </w:pPr>
            <w:r w:rsidRPr="00E93CCC">
              <w:rPr>
                <w:rFonts w:ascii="Calibri" w:hAnsi="Calibri" w:cs="Calibri"/>
                <w:sz w:val="24"/>
                <w:szCs w:val="24"/>
              </w:rPr>
              <w:t>3B – Workplace supports</w:t>
            </w:r>
          </w:p>
        </w:tc>
      </w:tr>
      <w:tr w:rsidR="00E93CCC" w14:paraId="1A44F9DE" w14:textId="77777777" w:rsidTr="00CE73AD">
        <w:trPr>
          <w:cantSplit/>
        </w:trPr>
        <w:tc>
          <w:tcPr>
            <w:tcW w:w="4333" w:type="dxa"/>
            <w:shd w:val="clear" w:color="auto" w:fill="EAF1ED"/>
          </w:tcPr>
          <w:p w14:paraId="415C9C77" w14:textId="77777777" w:rsidR="00E93CCC" w:rsidRPr="00E93CCC" w:rsidRDefault="00E93CCC" w:rsidP="00A7085E">
            <w:pPr>
              <w:pStyle w:val="Tabletext"/>
              <w:spacing w:line="320" w:lineRule="exact"/>
              <w:rPr>
                <w:rFonts w:ascii="Calibri" w:hAnsi="Calibri" w:cs="Calibri"/>
                <w:sz w:val="24"/>
                <w:szCs w:val="24"/>
              </w:rPr>
            </w:pPr>
            <w:r w:rsidRPr="00E93CCC">
              <w:rPr>
                <w:rFonts w:ascii="Calibri" w:hAnsi="Calibri" w:cs="Calibri"/>
                <w:sz w:val="24"/>
                <w:szCs w:val="24"/>
              </w:rPr>
              <w:t>Partnerships with training providers for placements</w:t>
            </w:r>
          </w:p>
        </w:tc>
        <w:tc>
          <w:tcPr>
            <w:tcW w:w="4333" w:type="dxa"/>
          </w:tcPr>
          <w:p w14:paraId="18EB69C2" w14:textId="77777777" w:rsidR="00E93CCC" w:rsidRPr="00E93CCC" w:rsidRDefault="00E93CCC" w:rsidP="00A7085E">
            <w:pPr>
              <w:pStyle w:val="Tabletext"/>
              <w:spacing w:line="320" w:lineRule="exact"/>
              <w:rPr>
                <w:rFonts w:ascii="Calibri" w:hAnsi="Calibri" w:cs="Calibri"/>
                <w:sz w:val="24"/>
                <w:szCs w:val="24"/>
              </w:rPr>
            </w:pPr>
            <w:r w:rsidRPr="00E93CCC">
              <w:rPr>
                <w:rFonts w:ascii="Calibri" w:hAnsi="Calibri" w:cs="Calibri"/>
                <w:sz w:val="24"/>
                <w:szCs w:val="24"/>
              </w:rPr>
              <w:t>Case study – BlueCare</w:t>
            </w:r>
          </w:p>
        </w:tc>
      </w:tr>
      <w:tr w:rsidR="00E93CCC" w14:paraId="390AAB47" w14:textId="77777777" w:rsidTr="00CE73AD">
        <w:trPr>
          <w:cantSplit/>
        </w:trPr>
        <w:tc>
          <w:tcPr>
            <w:tcW w:w="4333" w:type="dxa"/>
            <w:shd w:val="clear" w:color="auto" w:fill="EAF1ED"/>
          </w:tcPr>
          <w:p w14:paraId="63326A93" w14:textId="77777777" w:rsidR="00E93CCC" w:rsidRPr="00E93CCC" w:rsidRDefault="00E93CCC" w:rsidP="00A7085E">
            <w:pPr>
              <w:pStyle w:val="Tabletext"/>
              <w:spacing w:line="320" w:lineRule="exact"/>
              <w:rPr>
                <w:rFonts w:ascii="Calibri" w:hAnsi="Calibri" w:cs="Calibri"/>
                <w:sz w:val="24"/>
                <w:szCs w:val="24"/>
              </w:rPr>
            </w:pPr>
            <w:r w:rsidRPr="00E93CCC">
              <w:rPr>
                <w:rFonts w:ascii="Calibri" w:hAnsi="Calibri" w:cs="Calibri"/>
                <w:sz w:val="24"/>
                <w:szCs w:val="24"/>
              </w:rPr>
              <w:t>Accessing funding for professional development</w:t>
            </w:r>
          </w:p>
        </w:tc>
        <w:tc>
          <w:tcPr>
            <w:tcW w:w="4333" w:type="dxa"/>
          </w:tcPr>
          <w:p w14:paraId="202F7AB2" w14:textId="77777777" w:rsidR="00E93CCC" w:rsidRPr="00E93CCC" w:rsidRDefault="00E93CCC" w:rsidP="00A7085E">
            <w:pPr>
              <w:pStyle w:val="Tabletext"/>
              <w:spacing w:line="320" w:lineRule="exact"/>
              <w:rPr>
                <w:rFonts w:ascii="Calibri" w:hAnsi="Calibri" w:cs="Calibri"/>
                <w:sz w:val="24"/>
                <w:szCs w:val="24"/>
              </w:rPr>
            </w:pPr>
            <w:r w:rsidRPr="00E93CCC">
              <w:rPr>
                <w:rFonts w:ascii="Calibri" w:hAnsi="Calibri" w:cs="Calibri"/>
                <w:sz w:val="24"/>
                <w:szCs w:val="24"/>
              </w:rPr>
              <w:t>4A – Learning cultures</w:t>
            </w:r>
          </w:p>
          <w:p w14:paraId="5882CAB7" w14:textId="77777777" w:rsidR="00E93CCC" w:rsidRPr="00E93CCC" w:rsidRDefault="00E93CCC" w:rsidP="00A7085E">
            <w:pPr>
              <w:pStyle w:val="Tabletext"/>
              <w:spacing w:line="320" w:lineRule="exact"/>
              <w:rPr>
                <w:rFonts w:ascii="Calibri" w:hAnsi="Calibri" w:cs="Calibri"/>
                <w:sz w:val="24"/>
                <w:szCs w:val="24"/>
              </w:rPr>
            </w:pPr>
            <w:r w:rsidRPr="00E93CCC">
              <w:rPr>
                <w:rFonts w:ascii="Calibri" w:hAnsi="Calibri" w:cs="Calibri"/>
                <w:sz w:val="24"/>
                <w:szCs w:val="24"/>
              </w:rPr>
              <w:t>4B – Return on investment</w:t>
            </w:r>
          </w:p>
          <w:p w14:paraId="2CA7B655" w14:textId="77777777" w:rsidR="00E93CCC" w:rsidRPr="00E93CCC" w:rsidRDefault="00E93CCC" w:rsidP="00A7085E">
            <w:pPr>
              <w:pStyle w:val="Tabletext"/>
              <w:spacing w:line="320" w:lineRule="exact"/>
              <w:rPr>
                <w:rFonts w:ascii="Calibri" w:hAnsi="Calibri" w:cs="Calibri"/>
                <w:sz w:val="24"/>
                <w:szCs w:val="24"/>
              </w:rPr>
            </w:pPr>
            <w:r w:rsidRPr="00E93CCC">
              <w:rPr>
                <w:rFonts w:ascii="Calibri" w:hAnsi="Calibri" w:cs="Calibri"/>
                <w:sz w:val="24"/>
                <w:szCs w:val="24"/>
              </w:rPr>
              <w:t>4E – Access to funded training</w:t>
            </w:r>
          </w:p>
        </w:tc>
      </w:tr>
      <w:tr w:rsidR="00E93CCC" w14:paraId="73B77522" w14:textId="77777777" w:rsidTr="00CE73AD">
        <w:trPr>
          <w:cantSplit/>
        </w:trPr>
        <w:tc>
          <w:tcPr>
            <w:tcW w:w="4333" w:type="dxa"/>
            <w:shd w:val="clear" w:color="auto" w:fill="EAF1ED"/>
          </w:tcPr>
          <w:p w14:paraId="695998CF" w14:textId="77777777" w:rsidR="00E93CCC" w:rsidRPr="00E93CCC" w:rsidRDefault="00E93CCC" w:rsidP="00A7085E">
            <w:pPr>
              <w:pStyle w:val="Tabletext"/>
              <w:spacing w:line="320" w:lineRule="exact"/>
              <w:rPr>
                <w:rFonts w:ascii="Calibri" w:hAnsi="Calibri" w:cs="Calibri"/>
                <w:sz w:val="24"/>
                <w:szCs w:val="24"/>
              </w:rPr>
            </w:pPr>
            <w:r w:rsidRPr="00E93CCC">
              <w:rPr>
                <w:rFonts w:ascii="Calibri" w:hAnsi="Calibri" w:cs="Calibri"/>
                <w:sz w:val="24"/>
                <w:szCs w:val="24"/>
              </w:rPr>
              <w:t>Supporting staff to get accredited training</w:t>
            </w:r>
          </w:p>
        </w:tc>
        <w:tc>
          <w:tcPr>
            <w:tcW w:w="4333" w:type="dxa"/>
          </w:tcPr>
          <w:p w14:paraId="2D482B1F" w14:textId="77777777" w:rsidR="00E93CCC" w:rsidRPr="00E93CCC" w:rsidRDefault="00E93CCC" w:rsidP="00A7085E">
            <w:pPr>
              <w:pStyle w:val="Tabletext"/>
              <w:spacing w:line="320" w:lineRule="exact"/>
              <w:rPr>
                <w:rFonts w:ascii="Calibri" w:hAnsi="Calibri" w:cs="Calibri"/>
                <w:sz w:val="24"/>
                <w:szCs w:val="24"/>
              </w:rPr>
            </w:pPr>
            <w:r w:rsidRPr="00E93CCC">
              <w:rPr>
                <w:rFonts w:ascii="Calibri" w:hAnsi="Calibri" w:cs="Calibri"/>
                <w:sz w:val="24"/>
                <w:szCs w:val="24"/>
              </w:rPr>
              <w:t>4C – Skill Sets</w:t>
            </w:r>
          </w:p>
          <w:p w14:paraId="44AB09A5" w14:textId="77777777" w:rsidR="00E93CCC" w:rsidRPr="00E93CCC" w:rsidRDefault="00E93CCC" w:rsidP="00A7085E">
            <w:pPr>
              <w:pStyle w:val="Tabletext"/>
              <w:spacing w:line="320" w:lineRule="exact"/>
              <w:rPr>
                <w:rFonts w:ascii="Calibri" w:hAnsi="Calibri" w:cs="Calibri"/>
                <w:sz w:val="24"/>
                <w:szCs w:val="24"/>
              </w:rPr>
            </w:pPr>
            <w:r w:rsidRPr="00E93CCC">
              <w:rPr>
                <w:rFonts w:ascii="Calibri" w:hAnsi="Calibri" w:cs="Calibri"/>
                <w:sz w:val="24"/>
                <w:szCs w:val="24"/>
              </w:rPr>
              <w:t>4D – Recognition of Prior Learning</w:t>
            </w:r>
          </w:p>
          <w:p w14:paraId="709DE06C" w14:textId="77777777" w:rsidR="00E93CCC" w:rsidRPr="00E93CCC" w:rsidRDefault="00E93CCC" w:rsidP="00A7085E">
            <w:pPr>
              <w:pStyle w:val="Tabletext"/>
              <w:spacing w:line="320" w:lineRule="exact"/>
              <w:rPr>
                <w:rFonts w:ascii="Calibri" w:hAnsi="Calibri" w:cs="Calibri"/>
                <w:sz w:val="24"/>
                <w:szCs w:val="24"/>
              </w:rPr>
            </w:pPr>
            <w:r w:rsidRPr="00E93CCC">
              <w:rPr>
                <w:rFonts w:ascii="Calibri" w:hAnsi="Calibri" w:cs="Calibri"/>
                <w:sz w:val="24"/>
                <w:szCs w:val="24"/>
              </w:rPr>
              <w:t>4F – Flexible rostering</w:t>
            </w:r>
          </w:p>
        </w:tc>
      </w:tr>
      <w:tr w:rsidR="00E93CCC" w14:paraId="71A59881" w14:textId="77777777" w:rsidTr="00CE73AD">
        <w:trPr>
          <w:cantSplit/>
        </w:trPr>
        <w:tc>
          <w:tcPr>
            <w:tcW w:w="4333" w:type="dxa"/>
            <w:shd w:val="clear" w:color="auto" w:fill="EAF1ED"/>
          </w:tcPr>
          <w:p w14:paraId="60159AC0" w14:textId="77777777" w:rsidR="00E93CCC" w:rsidRPr="00E93CCC" w:rsidRDefault="00E93CCC" w:rsidP="00A7085E">
            <w:pPr>
              <w:pStyle w:val="Tabletext"/>
              <w:spacing w:line="320" w:lineRule="exact"/>
              <w:rPr>
                <w:rFonts w:ascii="Calibri" w:hAnsi="Calibri" w:cs="Calibri"/>
                <w:sz w:val="24"/>
                <w:szCs w:val="24"/>
              </w:rPr>
            </w:pPr>
            <w:r w:rsidRPr="00E93CCC">
              <w:rPr>
                <w:rFonts w:ascii="Calibri" w:hAnsi="Calibri" w:cs="Calibri"/>
                <w:sz w:val="24"/>
                <w:szCs w:val="24"/>
              </w:rPr>
              <w:t>High staff attrition</w:t>
            </w:r>
          </w:p>
        </w:tc>
        <w:tc>
          <w:tcPr>
            <w:tcW w:w="4333" w:type="dxa"/>
          </w:tcPr>
          <w:p w14:paraId="37DEAC44" w14:textId="77777777" w:rsidR="00E93CCC" w:rsidRPr="00E93CCC" w:rsidRDefault="00E93CCC" w:rsidP="00A7085E">
            <w:pPr>
              <w:pStyle w:val="Tabletext"/>
              <w:spacing w:line="320" w:lineRule="exact"/>
              <w:rPr>
                <w:rFonts w:ascii="Calibri" w:hAnsi="Calibri" w:cs="Calibri"/>
                <w:sz w:val="24"/>
                <w:szCs w:val="24"/>
              </w:rPr>
            </w:pPr>
            <w:r w:rsidRPr="00E93CCC">
              <w:rPr>
                <w:rFonts w:ascii="Calibri" w:hAnsi="Calibri" w:cs="Calibri"/>
                <w:sz w:val="24"/>
                <w:szCs w:val="24"/>
              </w:rPr>
              <w:t>5C – Pathways</w:t>
            </w:r>
          </w:p>
          <w:p w14:paraId="7483717C" w14:textId="77777777" w:rsidR="00E93CCC" w:rsidRPr="00E93CCC" w:rsidRDefault="00E93CCC" w:rsidP="00A7085E">
            <w:pPr>
              <w:pStyle w:val="Tabletext"/>
              <w:spacing w:line="320" w:lineRule="exact"/>
              <w:rPr>
                <w:rFonts w:ascii="Calibri" w:hAnsi="Calibri" w:cs="Calibri"/>
                <w:sz w:val="24"/>
                <w:szCs w:val="24"/>
              </w:rPr>
            </w:pPr>
            <w:r w:rsidRPr="00E93CCC">
              <w:rPr>
                <w:rFonts w:ascii="Calibri" w:hAnsi="Calibri" w:cs="Calibri"/>
                <w:sz w:val="24"/>
                <w:szCs w:val="24"/>
              </w:rPr>
              <w:t xml:space="preserve">5D – Mentoring </w:t>
            </w:r>
          </w:p>
        </w:tc>
      </w:tr>
      <w:tr w:rsidR="00E93CCC" w14:paraId="08BDC0F2" w14:textId="77777777" w:rsidTr="00CE73AD">
        <w:trPr>
          <w:cantSplit/>
        </w:trPr>
        <w:tc>
          <w:tcPr>
            <w:tcW w:w="4333" w:type="dxa"/>
            <w:shd w:val="clear" w:color="auto" w:fill="EAF1ED"/>
          </w:tcPr>
          <w:p w14:paraId="78D893CE" w14:textId="77777777" w:rsidR="00E93CCC" w:rsidRPr="00E93CCC" w:rsidRDefault="00E93CCC" w:rsidP="00A7085E">
            <w:pPr>
              <w:pStyle w:val="Tabletext"/>
              <w:spacing w:line="320" w:lineRule="exact"/>
              <w:rPr>
                <w:rFonts w:ascii="Calibri" w:hAnsi="Calibri" w:cs="Calibri"/>
                <w:sz w:val="24"/>
                <w:szCs w:val="24"/>
              </w:rPr>
            </w:pPr>
            <w:r w:rsidRPr="00E93CCC">
              <w:rPr>
                <w:rFonts w:ascii="Calibri" w:hAnsi="Calibri" w:cs="Calibri"/>
                <w:sz w:val="24"/>
                <w:szCs w:val="24"/>
              </w:rPr>
              <w:t>Retention of key staff</w:t>
            </w:r>
          </w:p>
        </w:tc>
        <w:tc>
          <w:tcPr>
            <w:tcW w:w="4333" w:type="dxa"/>
          </w:tcPr>
          <w:p w14:paraId="27AB4B49" w14:textId="77777777" w:rsidR="00E93CCC" w:rsidRPr="00E93CCC" w:rsidRDefault="00E93CCC" w:rsidP="00A7085E">
            <w:pPr>
              <w:pStyle w:val="Tabletext"/>
              <w:spacing w:line="320" w:lineRule="exact"/>
              <w:rPr>
                <w:rFonts w:ascii="Calibri" w:hAnsi="Calibri" w:cs="Calibri"/>
                <w:sz w:val="24"/>
                <w:szCs w:val="24"/>
              </w:rPr>
            </w:pPr>
            <w:r w:rsidRPr="00E93CCC">
              <w:rPr>
                <w:rFonts w:ascii="Calibri" w:hAnsi="Calibri" w:cs="Calibri"/>
                <w:sz w:val="24"/>
                <w:szCs w:val="24"/>
              </w:rPr>
              <w:t>Case study – Elder Care</w:t>
            </w:r>
          </w:p>
          <w:p w14:paraId="7173F653" w14:textId="77777777" w:rsidR="00E93CCC" w:rsidRPr="00E93CCC" w:rsidRDefault="00E93CCC" w:rsidP="00A7085E">
            <w:pPr>
              <w:pStyle w:val="Tabletext"/>
              <w:spacing w:line="320" w:lineRule="exact"/>
              <w:rPr>
                <w:rFonts w:ascii="Calibri" w:hAnsi="Calibri" w:cs="Calibri"/>
                <w:sz w:val="24"/>
                <w:szCs w:val="24"/>
              </w:rPr>
            </w:pPr>
            <w:r w:rsidRPr="00E93CCC">
              <w:rPr>
                <w:rFonts w:ascii="Calibri" w:hAnsi="Calibri" w:cs="Calibri"/>
                <w:sz w:val="24"/>
                <w:szCs w:val="24"/>
              </w:rPr>
              <w:t xml:space="preserve">Case study – Chorus </w:t>
            </w:r>
          </w:p>
        </w:tc>
      </w:tr>
      <w:tr w:rsidR="00E93CCC" w14:paraId="55BE4715" w14:textId="77777777" w:rsidTr="00CE73AD">
        <w:trPr>
          <w:cantSplit/>
        </w:trPr>
        <w:tc>
          <w:tcPr>
            <w:tcW w:w="4333" w:type="dxa"/>
            <w:shd w:val="clear" w:color="auto" w:fill="EAF1ED"/>
          </w:tcPr>
          <w:p w14:paraId="729FC1E1" w14:textId="77777777" w:rsidR="00E93CCC" w:rsidRPr="00E93CCC" w:rsidRDefault="00E93CCC" w:rsidP="00A7085E">
            <w:pPr>
              <w:pStyle w:val="Tabletext"/>
              <w:spacing w:line="320" w:lineRule="exact"/>
              <w:rPr>
                <w:rFonts w:ascii="Calibri" w:hAnsi="Calibri" w:cs="Calibri"/>
                <w:sz w:val="24"/>
                <w:szCs w:val="24"/>
              </w:rPr>
            </w:pPr>
            <w:r w:rsidRPr="00E93CCC">
              <w:rPr>
                <w:rFonts w:ascii="Calibri" w:hAnsi="Calibri" w:cs="Calibri"/>
                <w:sz w:val="24"/>
                <w:szCs w:val="24"/>
              </w:rPr>
              <w:t>Growing, supporting and retaining local staff (particularly in regional, rural and remote areas)</w:t>
            </w:r>
          </w:p>
        </w:tc>
        <w:tc>
          <w:tcPr>
            <w:tcW w:w="4333" w:type="dxa"/>
          </w:tcPr>
          <w:p w14:paraId="75DDB6E4" w14:textId="77777777" w:rsidR="00E93CCC" w:rsidRPr="00E93CCC" w:rsidRDefault="00E93CCC" w:rsidP="00A7085E">
            <w:pPr>
              <w:pStyle w:val="Tabletext"/>
              <w:spacing w:line="320" w:lineRule="exact"/>
              <w:rPr>
                <w:rFonts w:ascii="Calibri" w:hAnsi="Calibri" w:cs="Calibri"/>
                <w:sz w:val="24"/>
                <w:szCs w:val="24"/>
              </w:rPr>
            </w:pPr>
            <w:r w:rsidRPr="00E93CCC">
              <w:rPr>
                <w:rFonts w:ascii="Calibri" w:hAnsi="Calibri" w:cs="Calibri"/>
                <w:sz w:val="24"/>
                <w:szCs w:val="24"/>
              </w:rPr>
              <w:t>6A – Local training</w:t>
            </w:r>
          </w:p>
        </w:tc>
      </w:tr>
      <w:tr w:rsidR="00E93CCC" w14:paraId="6C0696D6" w14:textId="77777777" w:rsidTr="00CE73AD">
        <w:trPr>
          <w:cantSplit/>
        </w:trPr>
        <w:tc>
          <w:tcPr>
            <w:tcW w:w="4333" w:type="dxa"/>
            <w:shd w:val="clear" w:color="auto" w:fill="EAF1ED"/>
          </w:tcPr>
          <w:p w14:paraId="7FB9CD03" w14:textId="77777777" w:rsidR="00E93CCC" w:rsidRPr="00E93CCC" w:rsidRDefault="00E93CCC" w:rsidP="00A7085E">
            <w:pPr>
              <w:pStyle w:val="Tabletext"/>
              <w:spacing w:line="320" w:lineRule="exact"/>
              <w:rPr>
                <w:rFonts w:ascii="Calibri" w:hAnsi="Calibri" w:cs="Calibri"/>
                <w:sz w:val="24"/>
                <w:szCs w:val="24"/>
              </w:rPr>
            </w:pPr>
            <w:r w:rsidRPr="00E93CCC">
              <w:rPr>
                <w:rFonts w:ascii="Calibri" w:hAnsi="Calibri" w:cs="Calibri"/>
                <w:sz w:val="24"/>
                <w:szCs w:val="24"/>
              </w:rPr>
              <w:t>Growing the First Nations workforce</w:t>
            </w:r>
          </w:p>
        </w:tc>
        <w:tc>
          <w:tcPr>
            <w:tcW w:w="4333" w:type="dxa"/>
          </w:tcPr>
          <w:p w14:paraId="15FAEADF" w14:textId="77777777" w:rsidR="00E93CCC" w:rsidRPr="00E93CCC" w:rsidRDefault="00E93CCC" w:rsidP="00A7085E">
            <w:pPr>
              <w:pStyle w:val="Tabletext"/>
              <w:spacing w:line="320" w:lineRule="exact"/>
              <w:rPr>
                <w:rFonts w:ascii="Calibri" w:hAnsi="Calibri" w:cs="Calibri"/>
                <w:sz w:val="24"/>
                <w:szCs w:val="24"/>
              </w:rPr>
            </w:pPr>
            <w:r w:rsidRPr="00E93CCC">
              <w:rPr>
                <w:rFonts w:ascii="Calibri" w:hAnsi="Calibri" w:cs="Calibri"/>
                <w:sz w:val="24"/>
                <w:szCs w:val="24"/>
              </w:rPr>
              <w:t>6B – Culturally appropriate recruitment</w:t>
            </w:r>
          </w:p>
          <w:p w14:paraId="56112D60" w14:textId="77777777" w:rsidR="00E93CCC" w:rsidRPr="00E93CCC" w:rsidRDefault="00E93CCC" w:rsidP="00A7085E">
            <w:pPr>
              <w:pStyle w:val="Tabletext"/>
              <w:spacing w:line="320" w:lineRule="exact"/>
              <w:rPr>
                <w:rFonts w:ascii="Calibri" w:hAnsi="Calibri" w:cs="Calibri"/>
                <w:sz w:val="24"/>
                <w:szCs w:val="24"/>
              </w:rPr>
            </w:pPr>
            <w:r w:rsidRPr="00E93CCC">
              <w:rPr>
                <w:rFonts w:ascii="Calibri" w:hAnsi="Calibri" w:cs="Calibri"/>
                <w:sz w:val="24"/>
                <w:szCs w:val="24"/>
              </w:rPr>
              <w:t>6C – Cultural grounding</w:t>
            </w:r>
          </w:p>
        </w:tc>
      </w:tr>
      <w:tr w:rsidR="00E93CCC" w14:paraId="30132F39" w14:textId="77777777" w:rsidTr="00CE73AD">
        <w:trPr>
          <w:cantSplit/>
        </w:trPr>
        <w:tc>
          <w:tcPr>
            <w:tcW w:w="4333" w:type="dxa"/>
            <w:shd w:val="clear" w:color="auto" w:fill="EAF1ED"/>
          </w:tcPr>
          <w:p w14:paraId="53D57D36" w14:textId="77777777" w:rsidR="00E93CCC" w:rsidRPr="00E93CCC" w:rsidRDefault="00E93CCC" w:rsidP="00A7085E">
            <w:pPr>
              <w:pStyle w:val="Tabletext"/>
              <w:spacing w:line="320" w:lineRule="exact"/>
              <w:rPr>
                <w:rFonts w:ascii="Calibri" w:hAnsi="Calibri" w:cs="Calibri"/>
                <w:sz w:val="24"/>
                <w:szCs w:val="24"/>
              </w:rPr>
            </w:pPr>
            <w:r w:rsidRPr="00E93CCC">
              <w:rPr>
                <w:rFonts w:ascii="Calibri" w:hAnsi="Calibri" w:cs="Calibri"/>
                <w:sz w:val="24"/>
                <w:szCs w:val="24"/>
              </w:rPr>
              <w:t>Supporting workforce diversity</w:t>
            </w:r>
          </w:p>
        </w:tc>
        <w:tc>
          <w:tcPr>
            <w:tcW w:w="4333" w:type="dxa"/>
          </w:tcPr>
          <w:p w14:paraId="403168FE" w14:textId="77777777" w:rsidR="00E93CCC" w:rsidRPr="00E93CCC" w:rsidRDefault="00E93CCC" w:rsidP="00A7085E">
            <w:pPr>
              <w:pStyle w:val="Tabletext"/>
              <w:spacing w:line="320" w:lineRule="exact"/>
              <w:rPr>
                <w:rFonts w:ascii="Calibri" w:hAnsi="Calibri" w:cs="Calibri"/>
                <w:sz w:val="24"/>
                <w:szCs w:val="24"/>
              </w:rPr>
            </w:pPr>
            <w:r w:rsidRPr="00E93CCC">
              <w:rPr>
                <w:rFonts w:ascii="Calibri" w:hAnsi="Calibri" w:cs="Calibri"/>
                <w:sz w:val="24"/>
                <w:szCs w:val="24"/>
              </w:rPr>
              <w:t>6D – Role redesign</w:t>
            </w:r>
          </w:p>
          <w:p w14:paraId="4295B316" w14:textId="77777777" w:rsidR="00E93CCC" w:rsidRPr="00E93CCC" w:rsidRDefault="00E93CCC" w:rsidP="00A7085E">
            <w:pPr>
              <w:pStyle w:val="Tabletext"/>
              <w:spacing w:line="320" w:lineRule="exact"/>
              <w:rPr>
                <w:rFonts w:ascii="Calibri" w:hAnsi="Calibri" w:cs="Calibri"/>
                <w:sz w:val="24"/>
                <w:szCs w:val="24"/>
              </w:rPr>
            </w:pPr>
            <w:r w:rsidRPr="00E93CCC">
              <w:rPr>
                <w:rFonts w:ascii="Calibri" w:hAnsi="Calibri" w:cs="Calibri"/>
                <w:sz w:val="24"/>
                <w:szCs w:val="24"/>
              </w:rPr>
              <w:t xml:space="preserve">Case study – </w:t>
            </w:r>
            <w:proofErr w:type="spellStart"/>
            <w:r w:rsidRPr="00E93CCC">
              <w:rPr>
                <w:rFonts w:ascii="Calibri" w:hAnsi="Calibri" w:cs="Calibri"/>
                <w:sz w:val="24"/>
                <w:szCs w:val="24"/>
              </w:rPr>
              <w:t>SkiP</w:t>
            </w:r>
            <w:proofErr w:type="spellEnd"/>
          </w:p>
          <w:p w14:paraId="04043288" w14:textId="77777777" w:rsidR="00E93CCC" w:rsidRPr="00E93CCC" w:rsidRDefault="00E93CCC" w:rsidP="00A7085E">
            <w:pPr>
              <w:pStyle w:val="Tabletext"/>
              <w:spacing w:line="320" w:lineRule="exact"/>
              <w:rPr>
                <w:rFonts w:ascii="Calibri" w:hAnsi="Calibri" w:cs="Calibri"/>
                <w:sz w:val="24"/>
                <w:szCs w:val="24"/>
              </w:rPr>
            </w:pPr>
            <w:r w:rsidRPr="00E93CCC">
              <w:rPr>
                <w:rFonts w:ascii="Calibri" w:hAnsi="Calibri" w:cs="Calibri"/>
                <w:sz w:val="24"/>
                <w:szCs w:val="24"/>
              </w:rPr>
              <w:t>Case study - Scope</w:t>
            </w:r>
          </w:p>
        </w:tc>
      </w:tr>
    </w:tbl>
    <w:p w14:paraId="1BD96BD1" w14:textId="77777777" w:rsidR="006952F1" w:rsidRDefault="006952F1" w:rsidP="005C54AF">
      <w:pPr>
        <w:pStyle w:val="BodyText"/>
      </w:pPr>
    </w:p>
    <w:p w14:paraId="7F09F8DA" w14:textId="02E6FCA4" w:rsidR="006952F1" w:rsidRPr="000A5665" w:rsidRDefault="00224FBA" w:rsidP="006952F1">
      <w:pPr>
        <w:pStyle w:val="Heading1"/>
        <w:spacing w:line="240" w:lineRule="auto"/>
        <w:rPr>
          <w:rFonts w:ascii="Calibri" w:hAnsi="Calibri"/>
          <w:color w:val="8331A7"/>
        </w:rPr>
      </w:pPr>
      <w:bookmarkStart w:id="10" w:name="_Toc199322305"/>
      <w:r w:rsidRPr="00224FBA">
        <w:rPr>
          <w:rFonts w:ascii="Calibri" w:hAnsi="Calibri"/>
          <w:color w:val="8331A7"/>
        </w:rPr>
        <w:lastRenderedPageBreak/>
        <w:t>Attracting workers</w:t>
      </w:r>
      <w:bookmarkEnd w:id="10"/>
    </w:p>
    <w:p w14:paraId="3C9CD1C9" w14:textId="20E31F5B" w:rsidR="006952F1" w:rsidRPr="000A5665" w:rsidRDefault="00F53ABC" w:rsidP="006952F1">
      <w:pPr>
        <w:pStyle w:val="Heading2"/>
        <w:numPr>
          <w:ilvl w:val="0"/>
          <w:numId w:val="0"/>
        </w:numPr>
        <w:spacing w:line="240" w:lineRule="auto"/>
        <w:rPr>
          <w:rFonts w:ascii="Calibri" w:hAnsi="Calibri"/>
          <w:color w:val="8331A7"/>
        </w:rPr>
      </w:pPr>
      <w:bookmarkStart w:id="11" w:name="_Toc199322306"/>
      <w:r w:rsidRPr="00F53ABC">
        <w:rPr>
          <w:rFonts w:ascii="Calibri" w:hAnsi="Calibri"/>
          <w:color w:val="8331A7"/>
        </w:rPr>
        <w:t>Why it is important</w:t>
      </w:r>
      <w:bookmarkEnd w:id="11"/>
    </w:p>
    <w:p w14:paraId="12D7EBDB" w14:textId="77777777" w:rsidR="00B2293F" w:rsidRDefault="00B2293F" w:rsidP="00F53ABC">
      <w:pPr>
        <w:pStyle w:val="BodyText"/>
        <w:spacing w:line="312" w:lineRule="auto"/>
        <w:rPr>
          <w:rFonts w:ascii="Calibri" w:hAnsi="Calibri"/>
          <w:sz w:val="24"/>
          <w:szCs w:val="24"/>
        </w:rPr>
      </w:pPr>
      <w:r w:rsidRPr="00B2293F">
        <w:rPr>
          <w:rFonts w:ascii="Calibri" w:hAnsi="Calibri"/>
          <w:sz w:val="24"/>
          <w:szCs w:val="24"/>
        </w:rPr>
        <w:t xml:space="preserve">The care and support sector </w:t>
      </w:r>
      <w:proofErr w:type="gramStart"/>
      <w:r w:rsidRPr="00B2293F">
        <w:rPr>
          <w:rFonts w:ascii="Calibri" w:hAnsi="Calibri"/>
          <w:sz w:val="24"/>
          <w:szCs w:val="24"/>
        </w:rPr>
        <w:t>is</w:t>
      </w:r>
      <w:proofErr w:type="gramEnd"/>
      <w:r w:rsidRPr="00B2293F">
        <w:rPr>
          <w:rFonts w:ascii="Calibri" w:hAnsi="Calibri"/>
          <w:sz w:val="24"/>
          <w:szCs w:val="24"/>
        </w:rPr>
        <w:t xml:space="preserve"> diverse, with a wide range of roles and occupations, and must grow to meet demand now and into the future. This means employers need to get more people interested in the sector through both training and direct entry pathways. </w:t>
      </w:r>
    </w:p>
    <w:p w14:paraId="496110A4" w14:textId="77777777" w:rsidR="00B2293F" w:rsidRDefault="00B2293F" w:rsidP="00F53ABC">
      <w:pPr>
        <w:pStyle w:val="BodyText"/>
        <w:spacing w:line="312" w:lineRule="auto"/>
        <w:rPr>
          <w:rFonts w:ascii="Calibri" w:hAnsi="Calibri"/>
          <w:sz w:val="24"/>
          <w:szCs w:val="24"/>
        </w:rPr>
      </w:pPr>
      <w:r w:rsidRPr="00B2293F">
        <w:rPr>
          <w:rFonts w:ascii="Calibri" w:hAnsi="Calibri"/>
          <w:sz w:val="24"/>
          <w:szCs w:val="24"/>
        </w:rPr>
        <w:t xml:space="preserve">To do so, school leavers, job seekers and people changing careers need to have awareness of the career opportunities that the care and support sector offers. This is relevant to people who work exclusively in the sector (for example, disability support workers) and those that may work in other sectors (like nurses). </w:t>
      </w:r>
    </w:p>
    <w:p w14:paraId="6D84D334" w14:textId="52D23943" w:rsidR="006952F1" w:rsidRPr="006D5DE4" w:rsidRDefault="00B2293F" w:rsidP="006D5DE4">
      <w:pPr>
        <w:pStyle w:val="BodyText"/>
        <w:spacing w:line="312" w:lineRule="auto"/>
        <w:rPr>
          <w:rFonts w:ascii="Calibri" w:hAnsi="Calibri"/>
          <w:sz w:val="24"/>
          <w:szCs w:val="24"/>
        </w:rPr>
      </w:pPr>
      <w:r w:rsidRPr="00B2293F">
        <w:rPr>
          <w:rFonts w:ascii="Calibri" w:hAnsi="Calibri"/>
          <w:sz w:val="24"/>
          <w:szCs w:val="24"/>
        </w:rPr>
        <w:t>Improving awareness of and exposure to the care and support sector can go some way to alleviating negative perceptions about careers and encourage students and workers into the workforce. Raising the visibility of different employers, job roles and employment arrangements is also essential for increasing the attractiveness of the sector.</w:t>
      </w:r>
      <w:r w:rsidR="00F53ABC" w:rsidRPr="00137BB6">
        <w:rPr>
          <w:rFonts w:ascii="Calibri" w:hAnsi="Calibri"/>
          <w:sz w:val="24"/>
          <w:szCs w:val="24"/>
        </w:rPr>
        <w:t xml:space="preserve"> </w:t>
      </w:r>
    </w:p>
    <w:p w14:paraId="58961B55" w14:textId="4EE52DDF" w:rsidR="006D5DE4" w:rsidRPr="000A5665" w:rsidRDefault="00266DBF" w:rsidP="006D5DE4">
      <w:pPr>
        <w:pStyle w:val="Heading2"/>
        <w:numPr>
          <w:ilvl w:val="0"/>
          <w:numId w:val="0"/>
        </w:numPr>
        <w:spacing w:line="240" w:lineRule="auto"/>
        <w:rPr>
          <w:rFonts w:ascii="Calibri" w:hAnsi="Calibri"/>
          <w:color w:val="8331A7"/>
        </w:rPr>
      </w:pPr>
      <w:bookmarkStart w:id="12" w:name="_Toc199322307"/>
      <w:r w:rsidRPr="00266DBF">
        <w:rPr>
          <w:rFonts w:ascii="Calibri" w:hAnsi="Calibri"/>
          <w:color w:val="8331A7"/>
        </w:rPr>
        <w:t>What are the barriers</w:t>
      </w:r>
      <w:bookmarkEnd w:id="12"/>
    </w:p>
    <w:p w14:paraId="1B6235B5" w14:textId="77777777" w:rsidR="0069780C" w:rsidRPr="0069780C" w:rsidRDefault="0069780C" w:rsidP="007271DE">
      <w:pPr>
        <w:pStyle w:val="BodyText"/>
        <w:spacing w:after="0" w:line="312" w:lineRule="auto"/>
        <w:rPr>
          <w:rFonts w:ascii="Calibri" w:hAnsi="Calibri"/>
          <w:color w:val="7F3D97"/>
          <w:sz w:val="28"/>
          <w:szCs w:val="28"/>
        </w:rPr>
      </w:pPr>
      <w:r w:rsidRPr="0069780C">
        <w:rPr>
          <w:rFonts w:ascii="Calibri" w:hAnsi="Calibri"/>
          <w:color w:val="7F3D97"/>
          <w:sz w:val="28"/>
          <w:szCs w:val="28"/>
        </w:rPr>
        <w:t xml:space="preserve">Historical stigma </w:t>
      </w:r>
    </w:p>
    <w:p w14:paraId="6B2E54F8" w14:textId="77777777" w:rsidR="00B740C5" w:rsidRDefault="0069780C" w:rsidP="007271DE">
      <w:pPr>
        <w:pStyle w:val="BodyText"/>
        <w:spacing w:before="0" w:line="312" w:lineRule="auto"/>
        <w:rPr>
          <w:rFonts w:ascii="Calibri" w:hAnsi="Calibri"/>
          <w:sz w:val="24"/>
          <w:szCs w:val="24"/>
        </w:rPr>
      </w:pPr>
      <w:r w:rsidRPr="0069780C">
        <w:rPr>
          <w:rFonts w:ascii="Calibri" w:hAnsi="Calibri"/>
          <w:sz w:val="24"/>
          <w:szCs w:val="24"/>
        </w:rPr>
        <w:t xml:space="preserve">Potential workers often see the care and support sector as gendered or an ‘end of career’ option, rather than a lifelong career. The recent coverage of the care and support work as labour intensive, low status and with poor rates of pay has exacerbated this stigma. </w:t>
      </w:r>
    </w:p>
    <w:p w14:paraId="72737380" w14:textId="44667602" w:rsidR="00B740C5" w:rsidRPr="00B740C5" w:rsidRDefault="00B3160E" w:rsidP="007271DE">
      <w:pPr>
        <w:pStyle w:val="BodyText"/>
        <w:spacing w:after="0" w:line="312" w:lineRule="auto"/>
        <w:rPr>
          <w:rFonts w:ascii="Calibri" w:hAnsi="Calibri"/>
          <w:color w:val="7F3D97"/>
          <w:sz w:val="28"/>
          <w:szCs w:val="28"/>
        </w:rPr>
      </w:pPr>
      <w:r w:rsidRPr="00B3160E">
        <w:rPr>
          <w:rFonts w:ascii="Calibri" w:hAnsi="Calibri"/>
          <w:color w:val="7F3D97"/>
          <w:sz w:val="28"/>
          <w:szCs w:val="28"/>
        </w:rPr>
        <w:t>Limited awareness</w:t>
      </w:r>
      <w:r w:rsidR="00B740C5" w:rsidRPr="0069780C">
        <w:rPr>
          <w:rFonts w:ascii="Calibri" w:hAnsi="Calibri"/>
          <w:color w:val="7F3D97"/>
          <w:sz w:val="28"/>
          <w:szCs w:val="28"/>
        </w:rPr>
        <w:t xml:space="preserve"> </w:t>
      </w:r>
    </w:p>
    <w:p w14:paraId="1EC373F9" w14:textId="77777777" w:rsidR="00B740C5" w:rsidRDefault="0069780C" w:rsidP="007271DE">
      <w:pPr>
        <w:pStyle w:val="BodyText"/>
        <w:spacing w:before="0" w:line="312" w:lineRule="auto"/>
        <w:rPr>
          <w:rFonts w:ascii="Calibri" w:hAnsi="Calibri"/>
          <w:sz w:val="24"/>
          <w:szCs w:val="24"/>
        </w:rPr>
      </w:pPr>
      <w:r w:rsidRPr="0069780C">
        <w:rPr>
          <w:rFonts w:ascii="Calibri" w:hAnsi="Calibri"/>
          <w:sz w:val="24"/>
          <w:szCs w:val="24"/>
        </w:rPr>
        <w:t xml:space="preserve">There is low visibility of the career pathways into the care and support sector. This creates barriers to entry, with potential workers not aware of the range of rewarding careers available or how they can best get started in the industry. </w:t>
      </w:r>
    </w:p>
    <w:p w14:paraId="2AA2938E" w14:textId="38EABE3E" w:rsidR="00B740C5" w:rsidRPr="005E698A" w:rsidRDefault="005E698A" w:rsidP="007271DE">
      <w:pPr>
        <w:pStyle w:val="BodyText"/>
        <w:spacing w:after="0" w:line="312" w:lineRule="auto"/>
        <w:rPr>
          <w:rFonts w:ascii="Calibri" w:hAnsi="Calibri"/>
          <w:color w:val="7F3D97"/>
          <w:sz w:val="28"/>
          <w:szCs w:val="28"/>
        </w:rPr>
      </w:pPr>
      <w:r w:rsidRPr="005E698A">
        <w:rPr>
          <w:rFonts w:ascii="Calibri" w:hAnsi="Calibri"/>
          <w:color w:val="7F3D97"/>
          <w:sz w:val="28"/>
          <w:szCs w:val="28"/>
        </w:rPr>
        <w:t>Competition with other sectors</w:t>
      </w:r>
      <w:r w:rsidRPr="0069780C">
        <w:rPr>
          <w:rFonts w:ascii="Calibri" w:hAnsi="Calibri"/>
          <w:color w:val="7F3D97"/>
          <w:sz w:val="28"/>
          <w:szCs w:val="28"/>
        </w:rPr>
        <w:t xml:space="preserve"> </w:t>
      </w:r>
    </w:p>
    <w:p w14:paraId="2052370F" w14:textId="77777777" w:rsidR="00FF376D" w:rsidRDefault="0069780C" w:rsidP="007271DE">
      <w:pPr>
        <w:pStyle w:val="BodyText"/>
        <w:spacing w:before="0" w:line="312" w:lineRule="auto"/>
        <w:rPr>
          <w:rFonts w:ascii="Calibri" w:hAnsi="Calibri"/>
          <w:sz w:val="24"/>
          <w:szCs w:val="24"/>
        </w:rPr>
      </w:pPr>
      <w:r w:rsidRPr="0069780C">
        <w:rPr>
          <w:rFonts w:ascii="Calibri" w:hAnsi="Calibri"/>
          <w:sz w:val="24"/>
          <w:szCs w:val="24"/>
        </w:rPr>
        <w:t>The labour market in Australia is characterised by a scarcity of available workers to fill job openings. This means that employers in the care and support sector are competing for workers with other areas like health and social services, where job roles and career journeys are often much better understood.</w:t>
      </w:r>
    </w:p>
    <w:p w14:paraId="3419F4D5" w14:textId="27D8EE66" w:rsidR="00B740C5" w:rsidRPr="00FF376D" w:rsidRDefault="00FF376D" w:rsidP="00F74CB3">
      <w:pPr>
        <w:pStyle w:val="BodyText"/>
        <w:spacing w:after="0" w:line="312" w:lineRule="auto"/>
        <w:rPr>
          <w:rFonts w:ascii="Calibri" w:hAnsi="Calibri"/>
          <w:color w:val="7F3D97"/>
          <w:sz w:val="28"/>
          <w:szCs w:val="28"/>
        </w:rPr>
      </w:pPr>
      <w:r w:rsidRPr="00FF376D">
        <w:rPr>
          <w:rFonts w:ascii="Calibri" w:hAnsi="Calibri"/>
          <w:color w:val="7F3D97"/>
          <w:sz w:val="28"/>
          <w:szCs w:val="28"/>
        </w:rPr>
        <w:t>Employment stability</w:t>
      </w:r>
      <w:r w:rsidRPr="0069780C">
        <w:rPr>
          <w:rFonts w:ascii="Calibri" w:hAnsi="Calibri"/>
          <w:color w:val="7F3D97"/>
          <w:sz w:val="28"/>
          <w:szCs w:val="28"/>
        </w:rPr>
        <w:t xml:space="preserve"> </w:t>
      </w:r>
    </w:p>
    <w:p w14:paraId="3AD99503" w14:textId="77777777" w:rsidR="00B740C5" w:rsidRDefault="0069780C" w:rsidP="00F74CB3">
      <w:pPr>
        <w:pStyle w:val="BodyText"/>
        <w:spacing w:before="0" w:line="312" w:lineRule="auto"/>
        <w:rPr>
          <w:rFonts w:ascii="Calibri" w:hAnsi="Calibri"/>
          <w:sz w:val="24"/>
          <w:szCs w:val="24"/>
        </w:rPr>
      </w:pPr>
      <w:r w:rsidRPr="0069780C">
        <w:rPr>
          <w:rFonts w:ascii="Calibri" w:hAnsi="Calibri"/>
          <w:sz w:val="24"/>
          <w:szCs w:val="24"/>
        </w:rPr>
        <w:t xml:space="preserve">The community sector tends to have short funding cycles which typically reduce the length of contracts and contribute to high levels of employment instability. This has led to a range of highly localised employment arrangements, including more short-term contracts and casualised roles, which can discourage potential workers who are seeking permanent full or part time positions. </w:t>
      </w:r>
    </w:p>
    <w:p w14:paraId="57B3F8F0" w14:textId="24E6310C" w:rsidR="00A14C3B" w:rsidRDefault="00A14C3B" w:rsidP="00F74CB3">
      <w:pPr>
        <w:pStyle w:val="BodyText"/>
        <w:spacing w:after="0" w:line="312" w:lineRule="auto"/>
        <w:rPr>
          <w:rFonts w:ascii="Calibri" w:hAnsi="Calibri"/>
          <w:color w:val="7F3D97"/>
          <w:sz w:val="28"/>
          <w:szCs w:val="28"/>
        </w:rPr>
      </w:pPr>
    </w:p>
    <w:p w14:paraId="68BA10F0" w14:textId="3DC71961" w:rsidR="00B740C5" w:rsidRPr="00A14C3B" w:rsidRDefault="006C258B" w:rsidP="00A14C3B">
      <w:pPr>
        <w:pStyle w:val="BodyText"/>
        <w:spacing w:after="0" w:line="312" w:lineRule="auto"/>
        <w:rPr>
          <w:rFonts w:ascii="Calibri" w:hAnsi="Calibri"/>
          <w:color w:val="7F3D97"/>
          <w:sz w:val="28"/>
          <w:szCs w:val="28"/>
        </w:rPr>
      </w:pPr>
      <w:r w:rsidRPr="006C258B">
        <w:rPr>
          <w:rFonts w:ascii="Calibri" w:hAnsi="Calibri"/>
          <w:color w:val="7F3D97"/>
          <w:sz w:val="28"/>
          <w:szCs w:val="28"/>
        </w:rPr>
        <w:lastRenderedPageBreak/>
        <w:t>Administrative burden of traineeships</w:t>
      </w:r>
    </w:p>
    <w:p w14:paraId="0E31B9F6" w14:textId="48365DD2" w:rsidR="00BB7B03" w:rsidRDefault="0069780C" w:rsidP="00F74CB3">
      <w:pPr>
        <w:pStyle w:val="BodyText"/>
        <w:spacing w:before="0" w:line="312" w:lineRule="auto"/>
        <w:rPr>
          <w:rFonts w:ascii="Calibri" w:hAnsi="Calibri"/>
          <w:sz w:val="24"/>
          <w:szCs w:val="24"/>
        </w:rPr>
      </w:pPr>
      <w:r w:rsidRPr="0069780C">
        <w:rPr>
          <w:rFonts w:ascii="Calibri" w:hAnsi="Calibri"/>
          <w:sz w:val="24"/>
          <w:szCs w:val="24"/>
        </w:rPr>
        <w:t>The current funding model is problematic for the common traineeships entry pathway as many employers do not have the administrative, economic, or operational ‘bandwidth’ to complete their training obligations as the host employer.</w:t>
      </w:r>
    </w:p>
    <w:p w14:paraId="069F5B17" w14:textId="7DDE5176" w:rsidR="003753C3" w:rsidRPr="000A5665" w:rsidRDefault="00402B5E" w:rsidP="003753C3">
      <w:pPr>
        <w:pStyle w:val="Heading2"/>
        <w:numPr>
          <w:ilvl w:val="0"/>
          <w:numId w:val="0"/>
        </w:numPr>
        <w:rPr>
          <w:rFonts w:ascii="Calibri" w:hAnsi="Calibri"/>
          <w:color w:val="8331A7"/>
        </w:rPr>
      </w:pPr>
      <w:bookmarkStart w:id="13" w:name="_Toc199322308"/>
      <w:r w:rsidRPr="00402B5E">
        <w:rPr>
          <w:rFonts w:ascii="Calibri" w:hAnsi="Calibri"/>
          <w:color w:val="8331A7"/>
        </w:rPr>
        <w:t>Successful strategies</w:t>
      </w:r>
      <w:bookmarkEnd w:id="13"/>
    </w:p>
    <w:p w14:paraId="5EB6E4C8" w14:textId="513477E4" w:rsidR="00C5634D" w:rsidRPr="00A14C3B" w:rsidRDefault="008872E6" w:rsidP="00C5634D">
      <w:pPr>
        <w:pStyle w:val="BodyText"/>
        <w:spacing w:after="0" w:line="312" w:lineRule="auto"/>
        <w:rPr>
          <w:rFonts w:ascii="Calibri" w:hAnsi="Calibri"/>
          <w:color w:val="7F3D97"/>
          <w:sz w:val="28"/>
          <w:szCs w:val="28"/>
        </w:rPr>
      </w:pPr>
      <w:r w:rsidRPr="008872E6">
        <w:rPr>
          <w:rFonts w:ascii="Calibri" w:hAnsi="Calibri"/>
          <w:color w:val="7F3D97"/>
          <w:sz w:val="28"/>
          <w:szCs w:val="28"/>
        </w:rPr>
        <w:t>2A – Improving visibility of career pathways</w:t>
      </w:r>
    </w:p>
    <w:p w14:paraId="635A04ED" w14:textId="77777777" w:rsidR="00EC182C" w:rsidRDefault="00EC182C" w:rsidP="00F74CB3">
      <w:pPr>
        <w:pStyle w:val="BodyText"/>
        <w:spacing w:before="0" w:line="312" w:lineRule="auto"/>
        <w:rPr>
          <w:rFonts w:ascii="Calibri" w:hAnsi="Calibri"/>
          <w:sz w:val="24"/>
          <w:szCs w:val="24"/>
        </w:rPr>
      </w:pPr>
      <w:r w:rsidRPr="00EC182C">
        <w:rPr>
          <w:rFonts w:ascii="Calibri" w:hAnsi="Calibri"/>
          <w:sz w:val="24"/>
          <w:szCs w:val="24"/>
        </w:rPr>
        <w:t xml:space="preserve">Industry employers have partnered with training providers to raise awareness of pathways into, and within, the care and support workforce for both vocationally and higher education trained occupations. This has included: </w:t>
      </w:r>
    </w:p>
    <w:p w14:paraId="187DFAE9" w14:textId="77777777" w:rsidR="006C6C63" w:rsidRPr="006C6C63" w:rsidRDefault="00EC182C" w:rsidP="00EC182C">
      <w:pPr>
        <w:pStyle w:val="BodyText"/>
        <w:numPr>
          <w:ilvl w:val="0"/>
          <w:numId w:val="96"/>
        </w:numPr>
        <w:spacing w:before="0" w:line="312" w:lineRule="auto"/>
      </w:pPr>
      <w:r w:rsidRPr="00EC182C">
        <w:rPr>
          <w:rFonts w:ascii="Calibri" w:hAnsi="Calibri"/>
          <w:sz w:val="24"/>
          <w:szCs w:val="24"/>
        </w:rPr>
        <w:t xml:space="preserve">hosting booths at career festivals and open days </w:t>
      </w:r>
    </w:p>
    <w:p w14:paraId="5C350F73" w14:textId="6B78E88B" w:rsidR="00EC182C" w:rsidRPr="00EC182C" w:rsidRDefault="00EC182C" w:rsidP="00EC182C">
      <w:pPr>
        <w:pStyle w:val="BodyText"/>
        <w:numPr>
          <w:ilvl w:val="0"/>
          <w:numId w:val="96"/>
        </w:numPr>
        <w:spacing w:before="0" w:line="312" w:lineRule="auto"/>
      </w:pPr>
      <w:r w:rsidRPr="00EC182C">
        <w:rPr>
          <w:rFonts w:ascii="Calibri" w:hAnsi="Calibri"/>
          <w:sz w:val="24"/>
          <w:szCs w:val="24"/>
        </w:rPr>
        <w:t xml:space="preserve">using innovative recruitment practices (like online platforms and community groups) </w:t>
      </w:r>
    </w:p>
    <w:p w14:paraId="132757A7" w14:textId="77777777" w:rsidR="006C6C63" w:rsidRPr="006C6C63" w:rsidRDefault="00EC182C" w:rsidP="00EC182C">
      <w:pPr>
        <w:pStyle w:val="BodyText"/>
        <w:numPr>
          <w:ilvl w:val="0"/>
          <w:numId w:val="96"/>
        </w:numPr>
        <w:spacing w:before="0" w:line="312" w:lineRule="auto"/>
      </w:pPr>
      <w:r w:rsidRPr="00EC182C">
        <w:rPr>
          <w:rFonts w:ascii="Calibri" w:hAnsi="Calibri"/>
          <w:sz w:val="24"/>
          <w:szCs w:val="24"/>
        </w:rPr>
        <w:t xml:space="preserve">connecting with school counsellors to reach high school students </w:t>
      </w:r>
    </w:p>
    <w:p w14:paraId="5BBD4225" w14:textId="4E89AFBA" w:rsidR="003753C3" w:rsidRPr="00067923" w:rsidRDefault="00EC182C" w:rsidP="00EC182C">
      <w:pPr>
        <w:pStyle w:val="BodyText"/>
        <w:numPr>
          <w:ilvl w:val="0"/>
          <w:numId w:val="96"/>
        </w:numPr>
        <w:spacing w:before="0" w:line="312" w:lineRule="auto"/>
      </w:pPr>
      <w:r w:rsidRPr="00EC182C">
        <w:rPr>
          <w:rFonts w:ascii="Calibri" w:hAnsi="Calibri"/>
          <w:sz w:val="24"/>
          <w:szCs w:val="24"/>
        </w:rPr>
        <w:t>engaging with government employment services to connect with people seeking a career change.</w:t>
      </w:r>
    </w:p>
    <w:p w14:paraId="047D6023" w14:textId="694FF1F0" w:rsidR="00067923" w:rsidRPr="00A14C3B" w:rsidRDefault="00496B65" w:rsidP="00067923">
      <w:pPr>
        <w:pStyle w:val="BodyText"/>
        <w:spacing w:after="0" w:line="312" w:lineRule="auto"/>
        <w:rPr>
          <w:rFonts w:ascii="Calibri" w:hAnsi="Calibri"/>
          <w:color w:val="7F3D97"/>
          <w:sz w:val="28"/>
          <w:szCs w:val="28"/>
        </w:rPr>
      </w:pPr>
      <w:r w:rsidRPr="00496B65">
        <w:rPr>
          <w:rFonts w:ascii="Calibri" w:hAnsi="Calibri"/>
          <w:color w:val="7F3D97"/>
          <w:sz w:val="28"/>
          <w:szCs w:val="28"/>
        </w:rPr>
        <w:t>2B – Promoting the strengths of the sector</w:t>
      </w:r>
    </w:p>
    <w:p w14:paraId="2E9425DD" w14:textId="125F60BE" w:rsidR="00067923" w:rsidRDefault="00773645" w:rsidP="00773645">
      <w:pPr>
        <w:pStyle w:val="BodyText"/>
        <w:spacing w:before="0" w:line="312" w:lineRule="auto"/>
        <w:rPr>
          <w:rFonts w:ascii="Calibri" w:hAnsi="Calibri"/>
          <w:sz w:val="24"/>
          <w:szCs w:val="24"/>
        </w:rPr>
      </w:pPr>
      <w:r w:rsidRPr="00773645">
        <w:rPr>
          <w:rFonts w:ascii="Calibri" w:hAnsi="Calibri"/>
          <w:sz w:val="24"/>
          <w:szCs w:val="24"/>
        </w:rPr>
        <w:t>Employers and peak bodies have used community events (fetes, festivals) to directly market the care and support sector as an attractive career choice to help overcome existing stigma and undervaluing of the workforce. Others have proactively communicated the impact that the workforce can have through websites and related collateral, or through providing positive placement experiences (discussed further in the next section).</w:t>
      </w:r>
    </w:p>
    <w:p w14:paraId="2DB348F6" w14:textId="6339B817" w:rsidR="00FA4E3A" w:rsidRPr="00A14C3B" w:rsidRDefault="0096188B" w:rsidP="00FA4E3A">
      <w:pPr>
        <w:pStyle w:val="BodyText"/>
        <w:spacing w:after="0" w:line="312" w:lineRule="auto"/>
        <w:rPr>
          <w:rFonts w:ascii="Calibri" w:hAnsi="Calibri"/>
          <w:color w:val="7F3D97"/>
          <w:sz w:val="28"/>
          <w:szCs w:val="28"/>
        </w:rPr>
      </w:pPr>
      <w:r w:rsidRPr="0096188B">
        <w:rPr>
          <w:rFonts w:ascii="Calibri" w:hAnsi="Calibri"/>
          <w:color w:val="7F3D97"/>
          <w:sz w:val="28"/>
          <w:szCs w:val="28"/>
        </w:rPr>
        <w:t>2C – Wrap around supports</w:t>
      </w:r>
    </w:p>
    <w:p w14:paraId="1D50801D" w14:textId="77777777" w:rsidR="00012326" w:rsidRDefault="00012326" w:rsidP="00FA4E3A">
      <w:pPr>
        <w:pStyle w:val="BodyText"/>
        <w:spacing w:before="0" w:line="312" w:lineRule="auto"/>
        <w:rPr>
          <w:rFonts w:ascii="Calibri" w:hAnsi="Calibri"/>
          <w:sz w:val="24"/>
          <w:szCs w:val="24"/>
        </w:rPr>
      </w:pPr>
      <w:r w:rsidRPr="00012326">
        <w:rPr>
          <w:rFonts w:ascii="Calibri" w:hAnsi="Calibri"/>
          <w:sz w:val="24"/>
          <w:szCs w:val="24"/>
        </w:rPr>
        <w:t xml:space="preserve">High performing employers have tended to provide the wrap around supports required to help workers succeed in the care and support sector. This has included: </w:t>
      </w:r>
    </w:p>
    <w:p w14:paraId="11B82F56" w14:textId="77777777" w:rsidR="00012326" w:rsidRPr="00012326" w:rsidRDefault="00012326" w:rsidP="00012326">
      <w:pPr>
        <w:pStyle w:val="BodyText"/>
        <w:numPr>
          <w:ilvl w:val="0"/>
          <w:numId w:val="97"/>
        </w:numPr>
        <w:spacing w:before="0" w:line="312" w:lineRule="auto"/>
      </w:pPr>
      <w:r w:rsidRPr="00012326">
        <w:rPr>
          <w:rFonts w:ascii="Calibri" w:hAnsi="Calibri"/>
          <w:sz w:val="24"/>
          <w:szCs w:val="24"/>
        </w:rPr>
        <w:t xml:space="preserve">structured induction, onboarding and orientation processes for new recruits </w:t>
      </w:r>
    </w:p>
    <w:p w14:paraId="20C71B81" w14:textId="77777777" w:rsidR="00012326" w:rsidRPr="00012326" w:rsidRDefault="00012326" w:rsidP="00012326">
      <w:pPr>
        <w:pStyle w:val="BodyText"/>
        <w:numPr>
          <w:ilvl w:val="0"/>
          <w:numId w:val="97"/>
        </w:numPr>
        <w:spacing w:before="0" w:line="312" w:lineRule="auto"/>
      </w:pPr>
      <w:r w:rsidRPr="00012326">
        <w:rPr>
          <w:rFonts w:ascii="Calibri" w:hAnsi="Calibri"/>
          <w:sz w:val="24"/>
          <w:szCs w:val="24"/>
        </w:rPr>
        <w:t xml:space="preserve">assistance with LLN and digital literacy skills to support with work-readiness </w:t>
      </w:r>
    </w:p>
    <w:p w14:paraId="11EAEC96" w14:textId="77777777" w:rsidR="00012326" w:rsidRPr="00012326" w:rsidRDefault="00012326" w:rsidP="00012326">
      <w:pPr>
        <w:pStyle w:val="BodyText"/>
        <w:numPr>
          <w:ilvl w:val="0"/>
          <w:numId w:val="97"/>
        </w:numPr>
        <w:spacing w:before="0" w:line="312" w:lineRule="auto"/>
      </w:pPr>
      <w:r w:rsidRPr="00012326">
        <w:rPr>
          <w:rFonts w:ascii="Calibri" w:hAnsi="Calibri"/>
          <w:sz w:val="24"/>
          <w:szCs w:val="24"/>
        </w:rPr>
        <w:t xml:space="preserve">pastoral care to build resilience </w:t>
      </w:r>
    </w:p>
    <w:p w14:paraId="57DC5801" w14:textId="62F94CFD" w:rsidR="00B05601" w:rsidRPr="0076301F" w:rsidRDefault="00012326" w:rsidP="0076301F">
      <w:pPr>
        <w:pStyle w:val="BodyText"/>
        <w:numPr>
          <w:ilvl w:val="0"/>
          <w:numId w:val="97"/>
        </w:numPr>
        <w:spacing w:before="0" w:line="312" w:lineRule="auto"/>
      </w:pPr>
      <w:r w:rsidRPr="00012326">
        <w:rPr>
          <w:rFonts w:ascii="Calibri" w:hAnsi="Calibri"/>
          <w:sz w:val="24"/>
          <w:szCs w:val="24"/>
        </w:rPr>
        <w:t>access to peer support groups or buddies to provide additional assistance on a day-to-day basis.</w:t>
      </w:r>
    </w:p>
    <w:p w14:paraId="465D6C2A" w14:textId="383156D1" w:rsidR="00D4086A" w:rsidRPr="00A14C3B" w:rsidRDefault="00E67021" w:rsidP="00D4086A">
      <w:pPr>
        <w:pStyle w:val="BodyText"/>
        <w:spacing w:after="0" w:line="312" w:lineRule="auto"/>
        <w:rPr>
          <w:rFonts w:ascii="Calibri" w:hAnsi="Calibri"/>
          <w:color w:val="7F3D97"/>
          <w:sz w:val="28"/>
          <w:szCs w:val="28"/>
        </w:rPr>
      </w:pPr>
      <w:r w:rsidRPr="00E67021">
        <w:rPr>
          <w:rFonts w:ascii="Calibri" w:hAnsi="Calibri"/>
          <w:color w:val="7F3D97"/>
          <w:sz w:val="28"/>
          <w:szCs w:val="28"/>
        </w:rPr>
        <w:t>2D – Pre-employment programs</w:t>
      </w:r>
    </w:p>
    <w:p w14:paraId="30A0CCB2" w14:textId="3D795AFB" w:rsidR="00301FBF" w:rsidRPr="00B05601" w:rsidRDefault="009A1214" w:rsidP="00B05601">
      <w:pPr>
        <w:pStyle w:val="BodyText"/>
        <w:spacing w:before="0" w:line="312" w:lineRule="auto"/>
        <w:rPr>
          <w:rFonts w:ascii="Calibri" w:hAnsi="Calibri"/>
          <w:sz w:val="24"/>
          <w:szCs w:val="24"/>
        </w:rPr>
      </w:pPr>
      <w:r w:rsidRPr="009A1214">
        <w:rPr>
          <w:rFonts w:ascii="Calibri" w:hAnsi="Calibri"/>
          <w:sz w:val="24"/>
          <w:szCs w:val="24"/>
        </w:rPr>
        <w:t>Many employers have developed ‘taster’ pre-employment programs or partnered with providers to develop initiatives that allow prospective hires to assess whether the sector is a good fit for them before either invest their time and money. This not only provides essential skills for new entrants, but it also increases positive exposure and prepares them for the roles they may move into.</w:t>
      </w:r>
    </w:p>
    <w:p w14:paraId="66B5505C" w14:textId="0414E4F9" w:rsidR="003674C3" w:rsidRPr="00A14C3B" w:rsidRDefault="003B581B" w:rsidP="003674C3">
      <w:pPr>
        <w:pStyle w:val="BodyText"/>
        <w:spacing w:after="0" w:line="312" w:lineRule="auto"/>
        <w:rPr>
          <w:rFonts w:ascii="Calibri" w:hAnsi="Calibri"/>
          <w:color w:val="7F3D97"/>
          <w:sz w:val="28"/>
          <w:szCs w:val="28"/>
        </w:rPr>
      </w:pPr>
      <w:r w:rsidRPr="003B581B">
        <w:rPr>
          <w:rFonts w:ascii="Calibri" w:hAnsi="Calibri"/>
          <w:color w:val="7F3D97"/>
          <w:sz w:val="28"/>
          <w:szCs w:val="28"/>
        </w:rPr>
        <w:lastRenderedPageBreak/>
        <w:t>2E – Values-based recruitment</w:t>
      </w:r>
    </w:p>
    <w:p w14:paraId="5A20E3AD" w14:textId="24459B8E" w:rsidR="003674C3" w:rsidRDefault="00301FBF" w:rsidP="003674C3">
      <w:pPr>
        <w:pStyle w:val="BodyText"/>
        <w:spacing w:before="0" w:line="312" w:lineRule="auto"/>
        <w:rPr>
          <w:rFonts w:ascii="Calibri" w:hAnsi="Calibri"/>
          <w:sz w:val="24"/>
          <w:szCs w:val="24"/>
        </w:rPr>
      </w:pPr>
      <w:r w:rsidRPr="00301FBF">
        <w:rPr>
          <w:rFonts w:ascii="Calibri" w:hAnsi="Calibri"/>
          <w:sz w:val="24"/>
          <w:szCs w:val="24"/>
        </w:rPr>
        <w:t>Many employers have used values-based recruitment to determine if there is a mutual fit between the organisation and the job seeker, supporting improved attraction and retention of the right candidates. This focuses on attracting workers whose attitudes, values and behaviours align with those of the organisation, something that has been found to be a strong determinant for sustained employment in the care and support sector.</w:t>
      </w:r>
    </w:p>
    <w:p w14:paraId="6510C6D4" w14:textId="7CF8E4F4" w:rsidR="00835A48" w:rsidRPr="000A5665" w:rsidRDefault="00EF39EA" w:rsidP="00835A48">
      <w:pPr>
        <w:pStyle w:val="Heading2"/>
        <w:numPr>
          <w:ilvl w:val="0"/>
          <w:numId w:val="0"/>
        </w:numPr>
        <w:spacing w:line="240" w:lineRule="auto"/>
        <w:rPr>
          <w:rFonts w:ascii="Calibri" w:hAnsi="Calibri"/>
          <w:color w:val="8331A7"/>
        </w:rPr>
      </w:pPr>
      <w:bookmarkStart w:id="14" w:name="_Toc199322309"/>
      <w:r w:rsidRPr="00EF39EA">
        <w:rPr>
          <w:rFonts w:ascii="Calibri" w:hAnsi="Calibri"/>
          <w:color w:val="8331A7"/>
        </w:rPr>
        <w:t>Case Study – Skilled Care</w:t>
      </w:r>
      <w:bookmarkEnd w:id="14"/>
    </w:p>
    <w:p w14:paraId="5C07C820" w14:textId="77777777" w:rsidR="00610663" w:rsidRDefault="001F284A" w:rsidP="001F284A">
      <w:pPr>
        <w:pStyle w:val="BodyText"/>
        <w:spacing w:line="312" w:lineRule="auto"/>
        <w:rPr>
          <w:rFonts w:ascii="Calibri" w:hAnsi="Calibri"/>
          <w:sz w:val="24"/>
          <w:szCs w:val="24"/>
        </w:rPr>
      </w:pPr>
      <w:r w:rsidRPr="001F284A">
        <w:rPr>
          <w:rFonts w:ascii="Calibri" w:hAnsi="Calibri"/>
          <w:sz w:val="24"/>
          <w:szCs w:val="24"/>
        </w:rPr>
        <w:t xml:space="preserve">This case study demonstrates strategies 2A, 2B, 2C and 2E which have been delivered through an industry-training provider partnership model. </w:t>
      </w:r>
    </w:p>
    <w:p w14:paraId="470068F4" w14:textId="77777777" w:rsidR="00610663" w:rsidRDefault="001F284A" w:rsidP="001F284A">
      <w:pPr>
        <w:pStyle w:val="BodyText"/>
        <w:spacing w:line="312" w:lineRule="auto"/>
        <w:rPr>
          <w:rFonts w:ascii="Calibri" w:hAnsi="Calibri"/>
          <w:sz w:val="24"/>
          <w:szCs w:val="24"/>
        </w:rPr>
      </w:pPr>
      <w:r w:rsidRPr="001F284A">
        <w:rPr>
          <w:rFonts w:ascii="Calibri" w:hAnsi="Calibri"/>
          <w:sz w:val="24"/>
          <w:szCs w:val="24"/>
        </w:rPr>
        <w:t xml:space="preserve">Skilled Care is a Registered Training Organisation (RTO) focusing on aged care staffing, training and recruitment. It operates nationally with supporting staff in New South Wales, Queensland, Victoria, and Western Australia. It is owned by the </w:t>
      </w:r>
      <w:proofErr w:type="spellStart"/>
      <w:r w:rsidRPr="001F284A">
        <w:rPr>
          <w:rFonts w:ascii="Calibri" w:hAnsi="Calibri"/>
          <w:sz w:val="24"/>
          <w:szCs w:val="24"/>
        </w:rPr>
        <w:t>LionHouse</w:t>
      </w:r>
      <w:proofErr w:type="spellEnd"/>
      <w:r w:rsidRPr="001F284A">
        <w:rPr>
          <w:rFonts w:ascii="Calibri" w:hAnsi="Calibri"/>
          <w:sz w:val="24"/>
          <w:szCs w:val="24"/>
        </w:rPr>
        <w:t xml:space="preserve"> group of companies which has a diverse portfolio of industry education and employment solutions amongst private, government, and large multi-national workforces. </w:t>
      </w:r>
    </w:p>
    <w:p w14:paraId="78D3C8BA" w14:textId="77777777" w:rsidR="00610663" w:rsidRDefault="001F284A" w:rsidP="001F284A">
      <w:pPr>
        <w:pStyle w:val="BodyText"/>
        <w:spacing w:line="312" w:lineRule="auto"/>
        <w:rPr>
          <w:rFonts w:ascii="Calibri" w:hAnsi="Calibri"/>
          <w:sz w:val="24"/>
          <w:szCs w:val="24"/>
        </w:rPr>
      </w:pPr>
      <w:r w:rsidRPr="001F284A">
        <w:rPr>
          <w:rFonts w:ascii="Calibri" w:hAnsi="Calibri"/>
          <w:sz w:val="24"/>
          <w:szCs w:val="24"/>
        </w:rPr>
        <w:t xml:space="preserve">Skilled Care recognised that traineeships provide a strong incentive mechanism to attract students into the care and support sector, while also supporting employers to recruit workers. Skilled Care’s model provides organisations with a structured traineeship program which brings in high-quality candidates while removing or reducing financial barriers to hosting students. Employers are supported financially through a combination of available government incentives and payroll tax savings. </w:t>
      </w:r>
    </w:p>
    <w:p w14:paraId="28A19FAC" w14:textId="77777777" w:rsidR="003C67DD" w:rsidRDefault="001F284A" w:rsidP="001F284A">
      <w:pPr>
        <w:pStyle w:val="BodyText"/>
        <w:spacing w:line="312" w:lineRule="auto"/>
        <w:rPr>
          <w:rFonts w:ascii="Calibri" w:hAnsi="Calibri"/>
          <w:sz w:val="24"/>
          <w:szCs w:val="24"/>
        </w:rPr>
      </w:pPr>
      <w:r w:rsidRPr="001F284A">
        <w:rPr>
          <w:rFonts w:ascii="Calibri" w:hAnsi="Calibri"/>
          <w:sz w:val="24"/>
          <w:szCs w:val="24"/>
        </w:rPr>
        <w:t xml:space="preserve">Skilled Care identified that careful recruitment was a key factor in workforce attraction, and matching high-quality and motivated candidates with providers would support better retention within the sector. Skilled Care undertakes recruitment for no charge as part of its model, so the only cost to the employer is the subsidised labour cost to support the traineeship, which results in a net positive financial position for providers. </w:t>
      </w:r>
    </w:p>
    <w:p w14:paraId="686358A6" w14:textId="77777777" w:rsidR="0098708F" w:rsidRDefault="001F284A" w:rsidP="001F284A">
      <w:pPr>
        <w:pStyle w:val="BodyText"/>
        <w:spacing w:line="312" w:lineRule="auto"/>
        <w:rPr>
          <w:rFonts w:ascii="Calibri" w:hAnsi="Calibri"/>
          <w:sz w:val="24"/>
          <w:szCs w:val="24"/>
        </w:rPr>
      </w:pPr>
      <w:r w:rsidRPr="001F284A">
        <w:rPr>
          <w:rFonts w:ascii="Calibri" w:hAnsi="Calibri"/>
          <w:sz w:val="24"/>
          <w:szCs w:val="24"/>
        </w:rPr>
        <w:t xml:space="preserve">Once a partnership is established, Skilled Care </w:t>
      </w:r>
      <w:proofErr w:type="gramStart"/>
      <w:r w:rsidRPr="001F284A">
        <w:rPr>
          <w:rFonts w:ascii="Calibri" w:hAnsi="Calibri"/>
          <w:sz w:val="24"/>
          <w:szCs w:val="24"/>
        </w:rPr>
        <w:t>recruits</w:t>
      </w:r>
      <w:proofErr w:type="gramEnd"/>
      <w:r w:rsidRPr="001F284A">
        <w:rPr>
          <w:rFonts w:ascii="Calibri" w:hAnsi="Calibri"/>
          <w:sz w:val="24"/>
          <w:szCs w:val="24"/>
        </w:rPr>
        <w:t xml:space="preserve"> suitable candidates for the employer. Skilled Care’s model has a dedicated recruitment team which has a focus on ‘nurturing’ high-quality and motivated candidates for traineeships. The recruitment team targets the ‘considered career changer’ cohort rather than school leavers. It identifies individuals who show an interest in a potential career in care through web data analytics and interactions with advertising materials (such as banner ads or through SEEK). The Skilled Care recruitment team continuously engages with suitable candidates and manages all the administrative components of bringing the candidate on board into the program once they are ready to take the next step. </w:t>
      </w:r>
    </w:p>
    <w:p w14:paraId="0A8E4242" w14:textId="77777777" w:rsidR="0098708F" w:rsidRDefault="001F284A" w:rsidP="001F284A">
      <w:pPr>
        <w:pStyle w:val="BodyText"/>
        <w:spacing w:line="312" w:lineRule="auto"/>
        <w:rPr>
          <w:rFonts w:ascii="Calibri" w:hAnsi="Calibri"/>
          <w:sz w:val="24"/>
          <w:szCs w:val="24"/>
        </w:rPr>
      </w:pPr>
      <w:r w:rsidRPr="001F284A">
        <w:rPr>
          <w:rFonts w:ascii="Calibri" w:hAnsi="Calibri"/>
          <w:sz w:val="24"/>
          <w:szCs w:val="24"/>
        </w:rPr>
        <w:t xml:space="preserve">Skilled Care has received significant positive feedback on their model as providing a ‘win-win’ for both care organisations and trainees. The uptake rate for a candidate put forward for a final interview with the </w:t>
      </w:r>
      <w:r w:rsidRPr="001F284A">
        <w:rPr>
          <w:rFonts w:ascii="Calibri" w:hAnsi="Calibri"/>
          <w:sz w:val="24"/>
          <w:szCs w:val="24"/>
        </w:rPr>
        <w:lastRenderedPageBreak/>
        <w:t xml:space="preserve">employer is 70%. The careful consideration and identification of suitable candidates provides organisations with a pipeline of trainees which they can invest in with confidence. </w:t>
      </w:r>
    </w:p>
    <w:p w14:paraId="5D4DE81C" w14:textId="77777777" w:rsidR="0098708F" w:rsidRDefault="001F284A" w:rsidP="001F284A">
      <w:pPr>
        <w:pStyle w:val="BodyText"/>
        <w:spacing w:line="312" w:lineRule="auto"/>
        <w:rPr>
          <w:rFonts w:ascii="Calibri" w:hAnsi="Calibri"/>
          <w:sz w:val="24"/>
          <w:szCs w:val="24"/>
        </w:rPr>
      </w:pPr>
      <w:r w:rsidRPr="001F284A">
        <w:rPr>
          <w:rFonts w:ascii="Calibri" w:hAnsi="Calibri"/>
          <w:sz w:val="24"/>
          <w:szCs w:val="24"/>
        </w:rPr>
        <w:t xml:space="preserve">The traineeship model has also had a significant positive impact on workforce stress at partner care organisations. Due to the functional nature of the training provided by Skill Care, the trainees can alleviate workload pressures rather than add to them, which results in improved quality of care and staff satisfaction within the facilities. </w:t>
      </w:r>
    </w:p>
    <w:p w14:paraId="48469D7F" w14:textId="0E909FC4" w:rsidR="003674C3" w:rsidRDefault="001F284A" w:rsidP="001F284A">
      <w:pPr>
        <w:pStyle w:val="BodyText"/>
        <w:spacing w:line="312" w:lineRule="auto"/>
        <w:rPr>
          <w:rFonts w:ascii="Calibri" w:hAnsi="Calibri"/>
          <w:sz w:val="24"/>
          <w:szCs w:val="24"/>
        </w:rPr>
      </w:pPr>
      <w:r w:rsidRPr="001F284A">
        <w:rPr>
          <w:rFonts w:ascii="Calibri" w:hAnsi="Calibri"/>
          <w:sz w:val="24"/>
          <w:szCs w:val="24"/>
        </w:rPr>
        <w:t>Student retention and progression too has been significantly higher under this model than the full qualification pathway. The 12-month commitment of a Certificate III in Individual Support (Ageing and Disability) is often difficult for a student to sustain financially. Skilled Care’s approach of embedding employment into the training process motivates students to continue through to completion. Moreover, Skilled Care have achieved an average progression rate of 84% from their Certificate III into a Certificate IV.</w:t>
      </w:r>
    </w:p>
    <w:p w14:paraId="7D01689A" w14:textId="35EE6B3C" w:rsidR="00E713B1" w:rsidRPr="000A5665" w:rsidRDefault="00241E1B" w:rsidP="00E713B1">
      <w:pPr>
        <w:pStyle w:val="Heading1"/>
        <w:spacing w:line="240" w:lineRule="auto"/>
        <w:rPr>
          <w:rFonts w:ascii="Calibri" w:hAnsi="Calibri"/>
          <w:color w:val="8331A7"/>
        </w:rPr>
      </w:pPr>
      <w:bookmarkStart w:id="15" w:name="_Toc199322310"/>
      <w:r w:rsidRPr="00241E1B">
        <w:rPr>
          <w:rFonts w:ascii="Calibri" w:hAnsi="Calibri"/>
          <w:color w:val="8331A7"/>
        </w:rPr>
        <w:lastRenderedPageBreak/>
        <w:t>Supporting placements</w:t>
      </w:r>
      <w:bookmarkEnd w:id="15"/>
    </w:p>
    <w:p w14:paraId="3A16C8E4" w14:textId="77777777" w:rsidR="00E713B1" w:rsidRPr="000A5665" w:rsidRDefault="00E713B1" w:rsidP="00E713B1">
      <w:pPr>
        <w:pStyle w:val="Heading2"/>
        <w:numPr>
          <w:ilvl w:val="0"/>
          <w:numId w:val="0"/>
        </w:numPr>
        <w:spacing w:line="240" w:lineRule="auto"/>
        <w:rPr>
          <w:rFonts w:ascii="Calibri" w:hAnsi="Calibri"/>
          <w:color w:val="8331A7"/>
        </w:rPr>
      </w:pPr>
      <w:bookmarkStart w:id="16" w:name="_Toc199322311"/>
      <w:r w:rsidRPr="00F53ABC">
        <w:rPr>
          <w:rFonts w:ascii="Calibri" w:hAnsi="Calibri"/>
          <w:color w:val="8331A7"/>
        </w:rPr>
        <w:t>Why it is important</w:t>
      </w:r>
      <w:bookmarkEnd w:id="16"/>
    </w:p>
    <w:p w14:paraId="6EA2533D" w14:textId="77777777" w:rsidR="0058042F" w:rsidRDefault="0058042F" w:rsidP="00E713B1">
      <w:pPr>
        <w:pStyle w:val="BodyText"/>
        <w:spacing w:before="0" w:line="312" w:lineRule="auto"/>
        <w:rPr>
          <w:rFonts w:ascii="Calibri" w:hAnsi="Calibri"/>
          <w:sz w:val="24"/>
          <w:szCs w:val="24"/>
        </w:rPr>
      </w:pPr>
      <w:r w:rsidRPr="0058042F">
        <w:rPr>
          <w:rFonts w:ascii="Calibri" w:hAnsi="Calibri"/>
          <w:sz w:val="24"/>
          <w:szCs w:val="24"/>
        </w:rPr>
        <w:t xml:space="preserve">Placements are a mandatory component of many education and training programs. They also provide a positive opportunity to attract and recruit workers into employment with the organisation providing the placement. The quality of placements significantly affects whether students choose to work in the care and support sector. </w:t>
      </w:r>
    </w:p>
    <w:p w14:paraId="33092734" w14:textId="3149933D" w:rsidR="003674C3" w:rsidRDefault="0058042F" w:rsidP="00E713B1">
      <w:pPr>
        <w:pStyle w:val="BodyText"/>
        <w:spacing w:before="0" w:line="312" w:lineRule="auto"/>
        <w:rPr>
          <w:rFonts w:ascii="Calibri" w:hAnsi="Calibri"/>
          <w:sz w:val="24"/>
          <w:szCs w:val="24"/>
        </w:rPr>
      </w:pPr>
      <w:r w:rsidRPr="0058042F">
        <w:rPr>
          <w:rFonts w:ascii="Calibri" w:hAnsi="Calibri"/>
          <w:sz w:val="24"/>
          <w:szCs w:val="24"/>
        </w:rPr>
        <w:t>Positive placement experiences lead to greater numbers of students, trainees and interns who are likely to consider careers in the care and support sector. Important factors in providing students with positive experiences are the availability, quality and range of settings in which placements are undertaken. Increasing positive exposure pre-service also helps alleviate negative perceptions about careers in the care and support sector.</w:t>
      </w:r>
    </w:p>
    <w:p w14:paraId="48DEB0A2" w14:textId="0FB0E7F0" w:rsidR="00EA2E7F" w:rsidRPr="000A5665" w:rsidRDefault="006F58B0" w:rsidP="00EA2E7F">
      <w:pPr>
        <w:pStyle w:val="Heading2"/>
        <w:numPr>
          <w:ilvl w:val="0"/>
          <w:numId w:val="0"/>
        </w:numPr>
        <w:spacing w:line="240" w:lineRule="auto"/>
        <w:rPr>
          <w:rFonts w:ascii="Calibri" w:hAnsi="Calibri"/>
          <w:color w:val="8331A7"/>
        </w:rPr>
      </w:pPr>
      <w:bookmarkStart w:id="17" w:name="_Toc199322312"/>
      <w:r w:rsidRPr="006F58B0">
        <w:rPr>
          <w:rFonts w:ascii="Calibri" w:hAnsi="Calibri"/>
          <w:color w:val="8331A7"/>
        </w:rPr>
        <w:t>What are the common barriers</w:t>
      </w:r>
      <w:bookmarkEnd w:id="17"/>
    </w:p>
    <w:p w14:paraId="36E7D066" w14:textId="77777777" w:rsidR="001C19A0" w:rsidRPr="001C19A0" w:rsidRDefault="001C19A0" w:rsidP="001C19A0">
      <w:pPr>
        <w:pStyle w:val="BodyText"/>
        <w:spacing w:before="0" w:after="0" w:line="312" w:lineRule="auto"/>
        <w:rPr>
          <w:rFonts w:ascii="Calibri" w:hAnsi="Calibri"/>
          <w:color w:val="7030A0"/>
          <w:sz w:val="28"/>
          <w:szCs w:val="28"/>
        </w:rPr>
      </w:pPr>
      <w:r w:rsidRPr="001C19A0">
        <w:rPr>
          <w:rFonts w:ascii="Calibri" w:hAnsi="Calibri"/>
          <w:color w:val="7030A0"/>
          <w:sz w:val="28"/>
          <w:szCs w:val="28"/>
        </w:rPr>
        <w:t xml:space="preserve">Placement poverty </w:t>
      </w:r>
    </w:p>
    <w:p w14:paraId="36E85FF0" w14:textId="77777777" w:rsidR="001C19A0" w:rsidRDefault="001C19A0" w:rsidP="00EA2E7F">
      <w:pPr>
        <w:pStyle w:val="BodyText"/>
        <w:spacing w:before="0" w:line="312" w:lineRule="auto"/>
        <w:rPr>
          <w:rFonts w:ascii="Calibri" w:hAnsi="Calibri"/>
          <w:sz w:val="24"/>
          <w:szCs w:val="24"/>
        </w:rPr>
      </w:pPr>
      <w:r w:rsidRPr="001C19A0">
        <w:rPr>
          <w:rFonts w:ascii="Calibri" w:hAnsi="Calibri"/>
          <w:sz w:val="24"/>
          <w:szCs w:val="24"/>
        </w:rPr>
        <w:t xml:space="preserve">Placements often require students to give up paid work to complete their assessments, with many students unable to do so given their financial situations. This results in missed opportunities for employers in accessing potential workers. </w:t>
      </w:r>
    </w:p>
    <w:p w14:paraId="4465B93C" w14:textId="77777777" w:rsidR="001C19A0" w:rsidRPr="001C19A0" w:rsidRDefault="001C19A0" w:rsidP="001C19A0">
      <w:pPr>
        <w:pStyle w:val="BodyText"/>
        <w:spacing w:before="0" w:after="0" w:line="312" w:lineRule="auto"/>
        <w:rPr>
          <w:rFonts w:ascii="Calibri" w:hAnsi="Calibri"/>
          <w:color w:val="7030A0"/>
          <w:sz w:val="28"/>
          <w:szCs w:val="28"/>
        </w:rPr>
      </w:pPr>
      <w:r w:rsidRPr="001C19A0">
        <w:rPr>
          <w:rFonts w:ascii="Calibri" w:hAnsi="Calibri"/>
          <w:color w:val="7030A0"/>
          <w:sz w:val="28"/>
          <w:szCs w:val="28"/>
        </w:rPr>
        <w:t xml:space="preserve">Supervision </w:t>
      </w:r>
    </w:p>
    <w:p w14:paraId="051293A6" w14:textId="77777777" w:rsidR="001C19A0" w:rsidRDefault="001C19A0" w:rsidP="00EA2E7F">
      <w:pPr>
        <w:pStyle w:val="BodyText"/>
        <w:spacing w:before="0" w:line="312" w:lineRule="auto"/>
        <w:rPr>
          <w:rFonts w:ascii="Calibri" w:hAnsi="Calibri"/>
          <w:sz w:val="24"/>
          <w:szCs w:val="24"/>
        </w:rPr>
      </w:pPr>
      <w:r w:rsidRPr="001C19A0">
        <w:rPr>
          <w:rFonts w:ascii="Calibri" w:hAnsi="Calibri"/>
          <w:sz w:val="24"/>
          <w:szCs w:val="24"/>
        </w:rPr>
        <w:t xml:space="preserve">Workforce pressures impact the ability of employers to provide sufficient supervision to students on placement, particularly in releasing staff with appropriate experience and mentoring and coaching skills to ensure that students have a positive learning experience. </w:t>
      </w:r>
    </w:p>
    <w:p w14:paraId="6A975E23" w14:textId="77777777" w:rsidR="001C19A0" w:rsidRPr="001C19A0" w:rsidRDefault="001C19A0" w:rsidP="001C19A0">
      <w:pPr>
        <w:pStyle w:val="BodyText"/>
        <w:spacing w:before="0" w:after="0" w:line="312" w:lineRule="auto"/>
        <w:rPr>
          <w:rFonts w:ascii="Calibri" w:hAnsi="Calibri"/>
          <w:color w:val="7030A0"/>
          <w:sz w:val="28"/>
          <w:szCs w:val="28"/>
        </w:rPr>
      </w:pPr>
      <w:r w:rsidRPr="001C19A0">
        <w:rPr>
          <w:rFonts w:ascii="Calibri" w:hAnsi="Calibri"/>
          <w:color w:val="7030A0"/>
          <w:sz w:val="28"/>
          <w:szCs w:val="28"/>
        </w:rPr>
        <w:t xml:space="preserve">Community settings </w:t>
      </w:r>
    </w:p>
    <w:p w14:paraId="3657FEAB" w14:textId="77777777" w:rsidR="001C19A0" w:rsidRDefault="001C19A0" w:rsidP="00EA2E7F">
      <w:pPr>
        <w:pStyle w:val="BodyText"/>
        <w:spacing w:before="0" w:line="312" w:lineRule="auto"/>
        <w:rPr>
          <w:rFonts w:ascii="Calibri" w:hAnsi="Calibri"/>
          <w:sz w:val="24"/>
          <w:szCs w:val="24"/>
        </w:rPr>
      </w:pPr>
      <w:r w:rsidRPr="001C19A0">
        <w:rPr>
          <w:rFonts w:ascii="Calibri" w:hAnsi="Calibri"/>
          <w:sz w:val="24"/>
          <w:szCs w:val="24"/>
        </w:rPr>
        <w:t xml:space="preserve">Workforce shortages also make it difficult to provide placements in community or home-based care, shifting primary exposure to residential aged care settings rather than the full suite of environments in which supports are delivered. People receiving care in the community may not consent to having students attend on placements. In rural, regional and remote settings, supporting placements can be even more difficult due to the lack of appropriate resources, access to trainers and diverse placement settings available in these regions. </w:t>
      </w:r>
    </w:p>
    <w:p w14:paraId="51455778" w14:textId="77777777" w:rsidR="001C19A0" w:rsidRPr="001C19A0" w:rsidRDefault="001C19A0" w:rsidP="001C19A0">
      <w:pPr>
        <w:pStyle w:val="BodyText"/>
        <w:spacing w:before="0" w:after="0" w:line="312" w:lineRule="auto"/>
        <w:rPr>
          <w:rFonts w:ascii="Calibri" w:hAnsi="Calibri"/>
          <w:color w:val="7030A0"/>
          <w:sz w:val="28"/>
          <w:szCs w:val="28"/>
        </w:rPr>
      </w:pPr>
      <w:r w:rsidRPr="001C19A0">
        <w:rPr>
          <w:rFonts w:ascii="Calibri" w:hAnsi="Calibri"/>
          <w:color w:val="7030A0"/>
          <w:sz w:val="28"/>
          <w:szCs w:val="28"/>
        </w:rPr>
        <w:t xml:space="preserve">Partnerships </w:t>
      </w:r>
    </w:p>
    <w:p w14:paraId="28F1372E" w14:textId="68D1BCD0" w:rsidR="00EA2E7F" w:rsidRDefault="001C19A0" w:rsidP="00EA2E7F">
      <w:pPr>
        <w:pStyle w:val="BodyText"/>
        <w:spacing w:before="0" w:line="312" w:lineRule="auto"/>
        <w:rPr>
          <w:rFonts w:ascii="Calibri" w:hAnsi="Calibri"/>
          <w:sz w:val="24"/>
          <w:szCs w:val="24"/>
        </w:rPr>
      </w:pPr>
      <w:r w:rsidRPr="001C19A0">
        <w:rPr>
          <w:rFonts w:ascii="Calibri" w:hAnsi="Calibri"/>
          <w:sz w:val="24"/>
          <w:szCs w:val="24"/>
        </w:rPr>
        <w:t>Training providers often find it difficult to establish industry and employer partnerships to support quality placements, due to the perception that placements place a high administrative burden on service providers which reduces their willingness to host students.</w:t>
      </w:r>
    </w:p>
    <w:p w14:paraId="181903F0" w14:textId="1CD6B9D6" w:rsidR="0087461C" w:rsidRDefault="009F646C" w:rsidP="0087461C">
      <w:pPr>
        <w:pStyle w:val="Heading2"/>
        <w:numPr>
          <w:ilvl w:val="0"/>
          <w:numId w:val="0"/>
        </w:numPr>
        <w:spacing w:line="240" w:lineRule="auto"/>
        <w:rPr>
          <w:rFonts w:ascii="Calibri" w:hAnsi="Calibri"/>
          <w:color w:val="8331A7"/>
        </w:rPr>
      </w:pPr>
      <w:bookmarkStart w:id="18" w:name="_Toc199322313"/>
      <w:r w:rsidRPr="009F646C">
        <w:rPr>
          <w:rFonts w:ascii="Calibri" w:hAnsi="Calibri"/>
          <w:color w:val="8331A7"/>
        </w:rPr>
        <w:lastRenderedPageBreak/>
        <w:t>Effective strategies</w:t>
      </w:r>
      <w:bookmarkEnd w:id="18"/>
    </w:p>
    <w:p w14:paraId="062F7741" w14:textId="75C5010C" w:rsidR="00747BAA" w:rsidRPr="001C19A0" w:rsidRDefault="00B0485C" w:rsidP="00747BAA">
      <w:pPr>
        <w:pStyle w:val="BodyText"/>
        <w:spacing w:before="0" w:after="0" w:line="312" w:lineRule="auto"/>
        <w:rPr>
          <w:rFonts w:ascii="Calibri" w:hAnsi="Calibri"/>
          <w:color w:val="7030A0"/>
          <w:sz w:val="28"/>
          <w:szCs w:val="28"/>
        </w:rPr>
      </w:pPr>
      <w:r w:rsidRPr="00B0485C">
        <w:rPr>
          <w:rFonts w:ascii="Calibri" w:hAnsi="Calibri"/>
          <w:color w:val="7030A0"/>
          <w:sz w:val="28"/>
          <w:szCs w:val="28"/>
        </w:rPr>
        <w:t>3A – Partnership approaches</w:t>
      </w:r>
    </w:p>
    <w:p w14:paraId="0EBD880D" w14:textId="7E2EF19D" w:rsidR="0087461C" w:rsidRDefault="00081555" w:rsidP="0087461C">
      <w:pPr>
        <w:pStyle w:val="BodyText"/>
        <w:spacing w:before="0" w:line="312" w:lineRule="auto"/>
        <w:rPr>
          <w:rFonts w:ascii="Calibri" w:hAnsi="Calibri"/>
          <w:sz w:val="24"/>
          <w:szCs w:val="24"/>
        </w:rPr>
      </w:pPr>
      <w:r w:rsidRPr="00081555">
        <w:rPr>
          <w:rFonts w:ascii="Calibri" w:hAnsi="Calibri"/>
          <w:sz w:val="24"/>
          <w:szCs w:val="24"/>
        </w:rPr>
        <w:t>Employers have worked closely with training providers to build strong placement processes. This can include establishing preferred provider arrangements to ensure availability, working with RTOs to introduce screening approaches to ensure that students on placement are a good cultural fit with an interest in working in the sector, having clear roles and responsibilities between RTOs and employers, and establishing arrangements that support supervision and mentoring throughout placements.</w:t>
      </w:r>
    </w:p>
    <w:p w14:paraId="2513F41A" w14:textId="2BEE2AF2" w:rsidR="00BA7799" w:rsidRPr="001C19A0" w:rsidRDefault="005D5B0A" w:rsidP="00BA7799">
      <w:pPr>
        <w:pStyle w:val="BodyText"/>
        <w:spacing w:before="0" w:after="0" w:line="312" w:lineRule="auto"/>
        <w:rPr>
          <w:rFonts w:ascii="Calibri" w:hAnsi="Calibri"/>
          <w:color w:val="7030A0"/>
          <w:sz w:val="28"/>
          <w:szCs w:val="28"/>
        </w:rPr>
      </w:pPr>
      <w:r w:rsidRPr="005D5B0A">
        <w:rPr>
          <w:rFonts w:ascii="Calibri" w:hAnsi="Calibri"/>
          <w:color w:val="7030A0"/>
          <w:sz w:val="28"/>
          <w:szCs w:val="28"/>
        </w:rPr>
        <w:t>3B – Workplace supports</w:t>
      </w:r>
    </w:p>
    <w:p w14:paraId="449C0601" w14:textId="77777777" w:rsidR="000C1162" w:rsidRDefault="000C1162" w:rsidP="00BA7799">
      <w:pPr>
        <w:pStyle w:val="BodyText"/>
        <w:spacing w:before="0" w:line="312" w:lineRule="auto"/>
        <w:rPr>
          <w:rFonts w:ascii="Calibri" w:hAnsi="Calibri"/>
          <w:sz w:val="24"/>
          <w:szCs w:val="24"/>
        </w:rPr>
      </w:pPr>
      <w:r w:rsidRPr="000C1162">
        <w:rPr>
          <w:rFonts w:ascii="Calibri" w:hAnsi="Calibri"/>
          <w:sz w:val="24"/>
          <w:szCs w:val="24"/>
        </w:rPr>
        <w:t xml:space="preserve">Employer practices here have included: </w:t>
      </w:r>
    </w:p>
    <w:p w14:paraId="0A715580" w14:textId="77777777" w:rsidR="000C1162" w:rsidRPr="000C1162" w:rsidRDefault="000C1162" w:rsidP="000C1162">
      <w:pPr>
        <w:pStyle w:val="BodyText"/>
        <w:numPr>
          <w:ilvl w:val="0"/>
          <w:numId w:val="98"/>
        </w:numPr>
        <w:spacing w:before="0" w:line="312" w:lineRule="auto"/>
      </w:pPr>
      <w:r w:rsidRPr="000C1162">
        <w:rPr>
          <w:rFonts w:ascii="Calibri" w:hAnsi="Calibri"/>
          <w:sz w:val="24"/>
          <w:szCs w:val="24"/>
        </w:rPr>
        <w:t xml:space="preserve">the use of ‘buddy shifts’, where workers are paired to build peer relationships </w:t>
      </w:r>
    </w:p>
    <w:p w14:paraId="275C5E34" w14:textId="3D0BD82F" w:rsidR="000C1162" w:rsidRPr="000C1162" w:rsidRDefault="000C1162" w:rsidP="000C1162">
      <w:pPr>
        <w:pStyle w:val="BodyText"/>
        <w:numPr>
          <w:ilvl w:val="0"/>
          <w:numId w:val="98"/>
        </w:numPr>
        <w:spacing w:before="0" w:line="312" w:lineRule="auto"/>
      </w:pPr>
      <w:r w:rsidRPr="000C1162">
        <w:rPr>
          <w:rFonts w:ascii="Calibri" w:hAnsi="Calibri"/>
          <w:sz w:val="24"/>
          <w:szCs w:val="24"/>
        </w:rPr>
        <w:t xml:space="preserve">dedicated positions within services for mentoring and coaching </w:t>
      </w:r>
    </w:p>
    <w:p w14:paraId="6155D818" w14:textId="77777777" w:rsidR="000C1162" w:rsidRPr="000C1162" w:rsidRDefault="000C1162" w:rsidP="000C1162">
      <w:pPr>
        <w:pStyle w:val="BodyText"/>
        <w:numPr>
          <w:ilvl w:val="0"/>
          <w:numId w:val="98"/>
        </w:numPr>
        <w:spacing w:before="0" w:line="312" w:lineRule="auto"/>
      </w:pPr>
      <w:r w:rsidRPr="000C1162">
        <w:rPr>
          <w:rFonts w:ascii="Calibri" w:hAnsi="Calibri"/>
          <w:sz w:val="24"/>
          <w:szCs w:val="24"/>
        </w:rPr>
        <w:t>regular check-ins with students on placement to ensure meaningful learning opportunities.</w:t>
      </w:r>
    </w:p>
    <w:p w14:paraId="2A29EA73" w14:textId="79CA4F6C" w:rsidR="00BA7799" w:rsidRDefault="000C1162" w:rsidP="000C1162">
      <w:pPr>
        <w:pStyle w:val="BodyText"/>
        <w:spacing w:before="0" w:line="312" w:lineRule="auto"/>
        <w:rPr>
          <w:rFonts w:ascii="Calibri" w:hAnsi="Calibri"/>
          <w:sz w:val="24"/>
          <w:szCs w:val="24"/>
        </w:rPr>
      </w:pPr>
      <w:r w:rsidRPr="000C1162">
        <w:rPr>
          <w:rFonts w:ascii="Calibri" w:hAnsi="Calibri"/>
          <w:sz w:val="24"/>
          <w:szCs w:val="24"/>
        </w:rPr>
        <w:t>These have helped them improve placement experiences and support more students to complete, and transition to working in the sector.</w:t>
      </w:r>
    </w:p>
    <w:p w14:paraId="3C2EE0C3" w14:textId="4241658F" w:rsidR="002563C8" w:rsidRPr="000A5665" w:rsidRDefault="006D17B5" w:rsidP="002563C8">
      <w:pPr>
        <w:pStyle w:val="Heading2"/>
        <w:numPr>
          <w:ilvl w:val="0"/>
          <w:numId w:val="0"/>
        </w:numPr>
        <w:spacing w:line="240" w:lineRule="auto"/>
        <w:rPr>
          <w:rFonts w:ascii="Calibri" w:hAnsi="Calibri"/>
          <w:color w:val="8331A7"/>
        </w:rPr>
      </w:pPr>
      <w:bookmarkStart w:id="19" w:name="_Toc199322314"/>
      <w:r w:rsidRPr="006D17B5">
        <w:rPr>
          <w:rFonts w:ascii="Calibri" w:hAnsi="Calibri"/>
          <w:color w:val="8331A7"/>
        </w:rPr>
        <w:t xml:space="preserve">Case study – </w:t>
      </w:r>
      <w:proofErr w:type="spellStart"/>
      <w:r w:rsidRPr="006D17B5">
        <w:rPr>
          <w:rFonts w:ascii="Calibri" w:hAnsi="Calibri"/>
          <w:color w:val="8331A7"/>
        </w:rPr>
        <w:t>BlueCare</w:t>
      </w:r>
      <w:bookmarkEnd w:id="19"/>
      <w:proofErr w:type="spellEnd"/>
    </w:p>
    <w:p w14:paraId="1CFCE343" w14:textId="77777777" w:rsidR="0080158B" w:rsidRDefault="00845402" w:rsidP="002563C8">
      <w:pPr>
        <w:pStyle w:val="BodyText"/>
        <w:spacing w:before="0" w:line="312" w:lineRule="auto"/>
      </w:pPr>
      <w:r w:rsidRPr="00845402">
        <w:rPr>
          <w:rFonts w:ascii="Calibri" w:hAnsi="Calibri"/>
          <w:sz w:val="24"/>
          <w:szCs w:val="24"/>
        </w:rPr>
        <w:t>This case study demonstrates strategies 3A and 3B, led by an employer to support positive placements.</w:t>
      </w:r>
      <w:r w:rsidR="0080158B" w:rsidRPr="0080158B">
        <w:t xml:space="preserve"> </w:t>
      </w:r>
    </w:p>
    <w:p w14:paraId="54099FD0" w14:textId="77777777" w:rsidR="003E3E9F" w:rsidRDefault="0080158B" w:rsidP="002563C8">
      <w:pPr>
        <w:pStyle w:val="BodyText"/>
        <w:spacing w:before="0" w:line="312" w:lineRule="auto"/>
        <w:rPr>
          <w:rFonts w:ascii="Calibri" w:hAnsi="Calibri"/>
          <w:sz w:val="24"/>
          <w:szCs w:val="24"/>
        </w:rPr>
      </w:pPr>
      <w:proofErr w:type="spellStart"/>
      <w:r w:rsidRPr="0080158B">
        <w:rPr>
          <w:rFonts w:ascii="Calibri" w:hAnsi="Calibri"/>
          <w:sz w:val="24"/>
          <w:szCs w:val="24"/>
        </w:rPr>
        <w:t>BlueCare</w:t>
      </w:r>
      <w:proofErr w:type="spellEnd"/>
      <w:r w:rsidRPr="0080158B">
        <w:rPr>
          <w:rFonts w:ascii="Calibri" w:hAnsi="Calibri"/>
          <w:sz w:val="24"/>
          <w:szCs w:val="24"/>
        </w:rPr>
        <w:t xml:space="preserve"> is one of Queensland’s largest providers of in-home care, residential aged care, and retirement living, working to help communities live rich and full lives. It was established in 1953 and is an agency of UnitingCare, underpinned by the shared values of compassion, respect, justice, working together and leading through learning. </w:t>
      </w:r>
    </w:p>
    <w:p w14:paraId="3C1ECE31" w14:textId="77777777" w:rsidR="003E3E9F" w:rsidRDefault="0080158B" w:rsidP="002563C8">
      <w:pPr>
        <w:pStyle w:val="BodyText"/>
        <w:spacing w:before="0" w:line="312" w:lineRule="auto"/>
        <w:rPr>
          <w:rFonts w:ascii="Calibri" w:hAnsi="Calibri"/>
          <w:sz w:val="24"/>
          <w:szCs w:val="24"/>
        </w:rPr>
      </w:pPr>
      <w:proofErr w:type="spellStart"/>
      <w:r w:rsidRPr="0080158B">
        <w:rPr>
          <w:rFonts w:ascii="Calibri" w:hAnsi="Calibri"/>
          <w:sz w:val="24"/>
          <w:szCs w:val="24"/>
        </w:rPr>
        <w:t>BlueCare</w:t>
      </w:r>
      <w:proofErr w:type="spellEnd"/>
      <w:r w:rsidRPr="0080158B">
        <w:rPr>
          <w:rFonts w:ascii="Calibri" w:hAnsi="Calibri"/>
          <w:sz w:val="24"/>
          <w:szCs w:val="24"/>
        </w:rPr>
        <w:t xml:space="preserve"> has a large and growing network of aged care professionals, with 8,500 employees and 500 volunteers working together. </w:t>
      </w:r>
    </w:p>
    <w:p w14:paraId="12FBC7CA" w14:textId="77777777" w:rsidR="003E3E9F" w:rsidRDefault="0080158B" w:rsidP="002563C8">
      <w:pPr>
        <w:pStyle w:val="BodyText"/>
        <w:spacing w:before="0" w:line="312" w:lineRule="auto"/>
        <w:rPr>
          <w:rFonts w:ascii="Calibri" w:hAnsi="Calibri"/>
          <w:sz w:val="24"/>
          <w:szCs w:val="24"/>
        </w:rPr>
      </w:pPr>
      <w:r w:rsidRPr="0080158B">
        <w:rPr>
          <w:rFonts w:ascii="Calibri" w:hAnsi="Calibri"/>
          <w:sz w:val="24"/>
          <w:szCs w:val="24"/>
        </w:rPr>
        <w:t xml:space="preserve">Like the broader aged care sector, </w:t>
      </w:r>
      <w:proofErr w:type="spellStart"/>
      <w:r w:rsidRPr="0080158B">
        <w:rPr>
          <w:rFonts w:ascii="Calibri" w:hAnsi="Calibri"/>
          <w:sz w:val="24"/>
          <w:szCs w:val="24"/>
        </w:rPr>
        <w:t>BlueCare</w:t>
      </w:r>
      <w:proofErr w:type="spellEnd"/>
      <w:r w:rsidRPr="0080158B">
        <w:rPr>
          <w:rFonts w:ascii="Calibri" w:hAnsi="Calibri"/>
          <w:sz w:val="24"/>
          <w:szCs w:val="24"/>
        </w:rPr>
        <w:t xml:space="preserve"> finds it difficult to attract sufficient workers. Although RTO partners can offer </w:t>
      </w:r>
      <w:proofErr w:type="spellStart"/>
      <w:r w:rsidRPr="0080158B">
        <w:rPr>
          <w:rFonts w:ascii="Calibri" w:hAnsi="Calibri"/>
          <w:sz w:val="24"/>
          <w:szCs w:val="24"/>
        </w:rPr>
        <w:t>BlueCare</w:t>
      </w:r>
      <w:proofErr w:type="spellEnd"/>
      <w:r w:rsidRPr="0080158B">
        <w:rPr>
          <w:rFonts w:ascii="Calibri" w:hAnsi="Calibri"/>
          <w:sz w:val="24"/>
          <w:szCs w:val="24"/>
        </w:rPr>
        <w:t xml:space="preserve"> access to a large pool of students for placement, they are not always situated in areas where </w:t>
      </w:r>
      <w:proofErr w:type="spellStart"/>
      <w:r w:rsidRPr="0080158B">
        <w:rPr>
          <w:rFonts w:ascii="Calibri" w:hAnsi="Calibri"/>
          <w:sz w:val="24"/>
          <w:szCs w:val="24"/>
        </w:rPr>
        <w:t>BlueCare</w:t>
      </w:r>
      <w:proofErr w:type="spellEnd"/>
      <w:r w:rsidRPr="0080158B">
        <w:rPr>
          <w:rFonts w:ascii="Calibri" w:hAnsi="Calibri"/>
          <w:sz w:val="24"/>
          <w:szCs w:val="24"/>
        </w:rPr>
        <w:t xml:space="preserve"> has workforce needs, especially in regional and remote locations. </w:t>
      </w:r>
    </w:p>
    <w:p w14:paraId="204D7CE7" w14:textId="77777777" w:rsidR="003E3E9F" w:rsidRDefault="0080158B" w:rsidP="002563C8">
      <w:pPr>
        <w:pStyle w:val="BodyText"/>
        <w:spacing w:before="0" w:line="312" w:lineRule="auto"/>
        <w:rPr>
          <w:rFonts w:ascii="Calibri" w:hAnsi="Calibri"/>
          <w:sz w:val="24"/>
          <w:szCs w:val="24"/>
        </w:rPr>
      </w:pPr>
      <w:r w:rsidRPr="0080158B">
        <w:rPr>
          <w:rFonts w:ascii="Calibri" w:hAnsi="Calibri"/>
          <w:sz w:val="24"/>
          <w:szCs w:val="24"/>
        </w:rPr>
        <w:t xml:space="preserve">When RTOs organise student placements, they often do not complete detailed screening to ensure placements are the right fit for student career goals or to determine if the student is genuinely seeking employment. As an example, </w:t>
      </w:r>
      <w:proofErr w:type="spellStart"/>
      <w:r w:rsidRPr="0080158B">
        <w:rPr>
          <w:rFonts w:ascii="Calibri" w:hAnsi="Calibri"/>
          <w:sz w:val="24"/>
          <w:szCs w:val="24"/>
        </w:rPr>
        <w:t>BlueCare</w:t>
      </w:r>
      <w:proofErr w:type="spellEnd"/>
      <w:r w:rsidRPr="0080158B">
        <w:rPr>
          <w:rFonts w:ascii="Calibri" w:hAnsi="Calibri"/>
          <w:sz w:val="24"/>
          <w:szCs w:val="24"/>
        </w:rPr>
        <w:t xml:space="preserve"> received many students for their aged care placements whose actual preference was to work in the disability sector. This was a large factor in their 24% conversion rate of placement-to-employee, sitting well below their target of 50%. </w:t>
      </w:r>
    </w:p>
    <w:p w14:paraId="20762049" w14:textId="77777777" w:rsidR="00685C34" w:rsidRDefault="0080158B" w:rsidP="002563C8">
      <w:pPr>
        <w:pStyle w:val="BodyText"/>
        <w:spacing w:before="0" w:line="312" w:lineRule="auto"/>
        <w:rPr>
          <w:rFonts w:ascii="Calibri" w:hAnsi="Calibri"/>
          <w:sz w:val="24"/>
          <w:szCs w:val="24"/>
        </w:rPr>
      </w:pPr>
      <w:r w:rsidRPr="0080158B">
        <w:rPr>
          <w:rFonts w:ascii="Calibri" w:hAnsi="Calibri"/>
          <w:sz w:val="24"/>
          <w:szCs w:val="24"/>
        </w:rPr>
        <w:t xml:space="preserve">Faced with escalating demand for services, an ageing workforce, retention challenges, a skilled worker shortage, and an increasingly competitive labour market, </w:t>
      </w:r>
      <w:proofErr w:type="spellStart"/>
      <w:r w:rsidRPr="0080158B">
        <w:rPr>
          <w:rFonts w:ascii="Calibri" w:hAnsi="Calibri"/>
          <w:sz w:val="24"/>
          <w:szCs w:val="24"/>
        </w:rPr>
        <w:t>BlueCare</w:t>
      </w:r>
      <w:proofErr w:type="spellEnd"/>
      <w:r w:rsidRPr="0080158B">
        <w:rPr>
          <w:rFonts w:ascii="Calibri" w:hAnsi="Calibri"/>
          <w:sz w:val="24"/>
          <w:szCs w:val="24"/>
        </w:rPr>
        <w:t xml:space="preserve"> adopted a strategic “Grow Your Own </w:t>
      </w:r>
      <w:r w:rsidRPr="0080158B">
        <w:rPr>
          <w:rFonts w:ascii="Calibri" w:hAnsi="Calibri"/>
          <w:sz w:val="24"/>
          <w:szCs w:val="24"/>
        </w:rPr>
        <w:lastRenderedPageBreak/>
        <w:t xml:space="preserve">(GYO)” approach. Pivotal in this has been the development of preferred partnership arrangements with select RTOs to boost training, traineeship and placement opportunities. </w:t>
      </w:r>
    </w:p>
    <w:p w14:paraId="39428251" w14:textId="03BDB930" w:rsidR="0080158B" w:rsidRDefault="0080158B" w:rsidP="002563C8">
      <w:pPr>
        <w:pStyle w:val="BodyText"/>
        <w:spacing w:before="0" w:line="312" w:lineRule="auto"/>
        <w:rPr>
          <w:rFonts w:ascii="Calibri" w:hAnsi="Calibri"/>
          <w:sz w:val="24"/>
          <w:szCs w:val="24"/>
        </w:rPr>
      </w:pPr>
      <w:proofErr w:type="spellStart"/>
      <w:r w:rsidRPr="0080158B">
        <w:rPr>
          <w:rFonts w:ascii="Calibri" w:hAnsi="Calibri"/>
          <w:sz w:val="24"/>
          <w:szCs w:val="24"/>
        </w:rPr>
        <w:t>BlueCare</w:t>
      </w:r>
      <w:proofErr w:type="spellEnd"/>
      <w:r w:rsidRPr="0080158B">
        <w:rPr>
          <w:rFonts w:ascii="Calibri" w:hAnsi="Calibri"/>
          <w:sz w:val="24"/>
          <w:szCs w:val="24"/>
        </w:rPr>
        <w:t xml:space="preserve"> has a dedicated coordinating team and a GROW learning management system that provides information on traineeships and placements, details on funding for formal qualifications, and access to non-accredited training courses for workforce members.</w:t>
      </w:r>
    </w:p>
    <w:p w14:paraId="66B4177D" w14:textId="77777777" w:rsidR="00D336B9" w:rsidRDefault="00D336B9" w:rsidP="002563C8">
      <w:pPr>
        <w:pStyle w:val="BodyText"/>
        <w:spacing w:before="0" w:line="312" w:lineRule="auto"/>
        <w:rPr>
          <w:rFonts w:ascii="Calibri" w:hAnsi="Calibri"/>
          <w:sz w:val="24"/>
          <w:szCs w:val="24"/>
        </w:rPr>
      </w:pPr>
      <w:r w:rsidRPr="00D336B9">
        <w:rPr>
          <w:rFonts w:ascii="Calibri" w:hAnsi="Calibri"/>
          <w:sz w:val="24"/>
          <w:szCs w:val="24"/>
        </w:rPr>
        <w:t xml:space="preserve">Students studying with </w:t>
      </w:r>
      <w:proofErr w:type="spellStart"/>
      <w:r w:rsidRPr="00D336B9">
        <w:rPr>
          <w:rFonts w:ascii="Calibri" w:hAnsi="Calibri"/>
          <w:sz w:val="24"/>
          <w:szCs w:val="24"/>
        </w:rPr>
        <w:t>BlueCare’s</w:t>
      </w:r>
      <w:proofErr w:type="spellEnd"/>
      <w:r w:rsidRPr="00D336B9">
        <w:rPr>
          <w:rFonts w:ascii="Calibri" w:hAnsi="Calibri"/>
          <w:sz w:val="24"/>
          <w:szCs w:val="24"/>
        </w:rPr>
        <w:t xml:space="preserve"> preferred RTO partners are given priority for placements. The aim of </w:t>
      </w:r>
      <w:proofErr w:type="spellStart"/>
      <w:r w:rsidRPr="00D336B9">
        <w:rPr>
          <w:rFonts w:ascii="Calibri" w:hAnsi="Calibri"/>
          <w:sz w:val="24"/>
          <w:szCs w:val="24"/>
        </w:rPr>
        <w:t>BlueCare’s</w:t>
      </w:r>
      <w:proofErr w:type="spellEnd"/>
      <w:r w:rsidRPr="00D336B9">
        <w:rPr>
          <w:rFonts w:ascii="Calibri" w:hAnsi="Calibri"/>
          <w:sz w:val="24"/>
          <w:szCs w:val="24"/>
        </w:rPr>
        <w:t xml:space="preserve"> student placement program is to transition students into employment, thereby creating a steady pipeline of qualified and skilled personal care workers in areas where they are most needed. Other actions </w:t>
      </w:r>
      <w:proofErr w:type="spellStart"/>
      <w:r w:rsidRPr="00D336B9">
        <w:rPr>
          <w:rFonts w:ascii="Calibri" w:hAnsi="Calibri"/>
          <w:sz w:val="24"/>
          <w:szCs w:val="24"/>
        </w:rPr>
        <w:t>BlueCare</w:t>
      </w:r>
      <w:proofErr w:type="spellEnd"/>
      <w:r w:rsidRPr="00D336B9">
        <w:rPr>
          <w:rFonts w:ascii="Calibri" w:hAnsi="Calibri"/>
          <w:sz w:val="24"/>
          <w:szCs w:val="24"/>
        </w:rPr>
        <w:t xml:space="preserve"> has implemented to address their workforce attraction and training needs are: </w:t>
      </w:r>
    </w:p>
    <w:p w14:paraId="5FE5FC41" w14:textId="77777777" w:rsidR="00D336B9" w:rsidRDefault="00D336B9" w:rsidP="00D336B9">
      <w:pPr>
        <w:pStyle w:val="BodyText"/>
        <w:numPr>
          <w:ilvl w:val="0"/>
          <w:numId w:val="99"/>
        </w:numPr>
        <w:spacing w:before="0" w:line="312" w:lineRule="auto"/>
        <w:rPr>
          <w:rFonts w:ascii="Calibri" w:hAnsi="Calibri"/>
          <w:sz w:val="24"/>
          <w:szCs w:val="24"/>
        </w:rPr>
      </w:pPr>
      <w:r w:rsidRPr="00D336B9">
        <w:rPr>
          <w:rFonts w:ascii="Calibri" w:hAnsi="Calibri"/>
          <w:sz w:val="24"/>
          <w:szCs w:val="24"/>
        </w:rPr>
        <w:t xml:space="preserve">increasing education partners for student placements from 3 preferred providers to 7 to better meet demand for student placements </w:t>
      </w:r>
    </w:p>
    <w:p w14:paraId="6974D8B3" w14:textId="77777777" w:rsidR="00D336B9" w:rsidRDefault="00D336B9" w:rsidP="00D336B9">
      <w:pPr>
        <w:pStyle w:val="BodyText"/>
        <w:numPr>
          <w:ilvl w:val="0"/>
          <w:numId w:val="99"/>
        </w:numPr>
        <w:spacing w:before="0" w:line="312" w:lineRule="auto"/>
        <w:rPr>
          <w:rFonts w:ascii="Calibri" w:hAnsi="Calibri"/>
          <w:sz w:val="24"/>
          <w:szCs w:val="24"/>
        </w:rPr>
      </w:pPr>
      <w:r w:rsidRPr="00D336B9">
        <w:rPr>
          <w:rFonts w:ascii="Calibri" w:hAnsi="Calibri"/>
          <w:sz w:val="24"/>
          <w:szCs w:val="24"/>
        </w:rPr>
        <w:t xml:space="preserve">creating a request template for placements to ensure student availability, interest and employment availability aligns with organisational need and purpose </w:t>
      </w:r>
    </w:p>
    <w:p w14:paraId="25779BC6" w14:textId="77777777" w:rsidR="00D336B9" w:rsidRDefault="00D336B9" w:rsidP="00D336B9">
      <w:pPr>
        <w:pStyle w:val="BodyText"/>
        <w:numPr>
          <w:ilvl w:val="0"/>
          <w:numId w:val="99"/>
        </w:numPr>
        <w:spacing w:before="0" w:line="312" w:lineRule="auto"/>
        <w:rPr>
          <w:rFonts w:ascii="Calibri" w:hAnsi="Calibri"/>
          <w:sz w:val="24"/>
          <w:szCs w:val="24"/>
        </w:rPr>
      </w:pPr>
      <w:r w:rsidRPr="00D336B9">
        <w:rPr>
          <w:rFonts w:ascii="Calibri" w:hAnsi="Calibri"/>
          <w:sz w:val="24"/>
          <w:szCs w:val="24"/>
        </w:rPr>
        <w:t xml:space="preserve">implementing a workforce attraction strategy that allows personal care students to be hired before or during their placement as unqualified personal carers, with paid placement shifts once employed, or to be employed in a qualified role after their placement, if a vacancy is available. </w:t>
      </w:r>
    </w:p>
    <w:p w14:paraId="5AE8FF3E" w14:textId="77777777" w:rsidR="00D336B9" w:rsidRDefault="00D336B9" w:rsidP="00D336B9">
      <w:pPr>
        <w:pStyle w:val="BodyText"/>
        <w:numPr>
          <w:ilvl w:val="0"/>
          <w:numId w:val="99"/>
        </w:numPr>
        <w:spacing w:before="0" w:line="312" w:lineRule="auto"/>
        <w:rPr>
          <w:rFonts w:ascii="Calibri" w:hAnsi="Calibri"/>
          <w:sz w:val="24"/>
          <w:szCs w:val="24"/>
        </w:rPr>
      </w:pPr>
      <w:r w:rsidRPr="00D336B9">
        <w:rPr>
          <w:rFonts w:ascii="Calibri" w:hAnsi="Calibri"/>
          <w:sz w:val="24"/>
          <w:szCs w:val="24"/>
        </w:rPr>
        <w:t xml:space="preserve">providing paid personal carer practical placements to existing employees to incentivise existing workers without qualifications to participate, upskill and progress their career </w:t>
      </w:r>
    </w:p>
    <w:p w14:paraId="06FC3DD1" w14:textId="77777777" w:rsidR="00D336B9" w:rsidRDefault="00D336B9" w:rsidP="00D336B9">
      <w:pPr>
        <w:pStyle w:val="BodyText"/>
        <w:numPr>
          <w:ilvl w:val="0"/>
          <w:numId w:val="99"/>
        </w:numPr>
        <w:spacing w:before="0" w:line="312" w:lineRule="auto"/>
        <w:rPr>
          <w:rFonts w:ascii="Calibri" w:hAnsi="Calibri"/>
          <w:sz w:val="24"/>
          <w:szCs w:val="24"/>
        </w:rPr>
      </w:pPr>
      <w:r w:rsidRPr="00D336B9">
        <w:rPr>
          <w:rFonts w:ascii="Calibri" w:hAnsi="Calibri"/>
          <w:sz w:val="24"/>
          <w:szCs w:val="24"/>
        </w:rPr>
        <w:t xml:space="preserve">expanding placement opportunities to include health administration and hospitality where hosting capacity and vacancies exist </w:t>
      </w:r>
    </w:p>
    <w:p w14:paraId="0689113B" w14:textId="77777777" w:rsidR="00D336B9" w:rsidRDefault="00D336B9" w:rsidP="00D336B9">
      <w:pPr>
        <w:pStyle w:val="BodyText"/>
        <w:numPr>
          <w:ilvl w:val="0"/>
          <w:numId w:val="99"/>
        </w:numPr>
        <w:spacing w:before="0" w:line="312" w:lineRule="auto"/>
        <w:rPr>
          <w:rFonts w:ascii="Calibri" w:hAnsi="Calibri"/>
          <w:sz w:val="24"/>
          <w:szCs w:val="24"/>
        </w:rPr>
      </w:pPr>
      <w:r w:rsidRPr="00D336B9">
        <w:rPr>
          <w:rFonts w:ascii="Calibri" w:hAnsi="Calibri"/>
          <w:sz w:val="24"/>
          <w:szCs w:val="24"/>
        </w:rPr>
        <w:t xml:space="preserve">developing resources (such as handbooks) to support inducting students into ways of working </w:t>
      </w:r>
    </w:p>
    <w:p w14:paraId="2D3779F9" w14:textId="77777777" w:rsidR="00D336B9" w:rsidRDefault="00D336B9" w:rsidP="00D336B9">
      <w:pPr>
        <w:pStyle w:val="BodyText"/>
        <w:numPr>
          <w:ilvl w:val="0"/>
          <w:numId w:val="99"/>
        </w:numPr>
        <w:spacing w:before="0" w:line="312" w:lineRule="auto"/>
        <w:rPr>
          <w:rFonts w:ascii="Calibri" w:hAnsi="Calibri"/>
          <w:sz w:val="24"/>
          <w:szCs w:val="24"/>
        </w:rPr>
      </w:pPr>
      <w:r w:rsidRPr="00D336B9">
        <w:rPr>
          <w:rFonts w:ascii="Calibri" w:hAnsi="Calibri"/>
          <w:sz w:val="24"/>
          <w:szCs w:val="24"/>
        </w:rPr>
        <w:t xml:space="preserve">assigning ‘Personal Care Worker Coaches’ to provide quality mentoring for upskilling </w:t>
      </w:r>
    </w:p>
    <w:p w14:paraId="12A7657B" w14:textId="77777777" w:rsidR="00D336B9" w:rsidRDefault="00D336B9" w:rsidP="00D336B9">
      <w:pPr>
        <w:pStyle w:val="BodyText"/>
        <w:numPr>
          <w:ilvl w:val="0"/>
          <w:numId w:val="99"/>
        </w:numPr>
        <w:spacing w:before="0" w:line="312" w:lineRule="auto"/>
        <w:rPr>
          <w:rFonts w:ascii="Calibri" w:hAnsi="Calibri"/>
          <w:sz w:val="24"/>
          <w:szCs w:val="24"/>
        </w:rPr>
      </w:pPr>
      <w:r w:rsidRPr="00D336B9">
        <w:rPr>
          <w:rFonts w:ascii="Calibri" w:hAnsi="Calibri"/>
          <w:sz w:val="24"/>
          <w:szCs w:val="24"/>
        </w:rPr>
        <w:t xml:space="preserve">running a ‘Peer to Peer’ course for building buddying skills to increase professional development and leadership capacity </w:t>
      </w:r>
    </w:p>
    <w:p w14:paraId="65BCE1B5" w14:textId="77777777" w:rsidR="00D336B9" w:rsidRDefault="00D336B9" w:rsidP="00D336B9">
      <w:pPr>
        <w:pStyle w:val="BodyText"/>
        <w:numPr>
          <w:ilvl w:val="0"/>
          <w:numId w:val="99"/>
        </w:numPr>
        <w:spacing w:before="0" w:line="312" w:lineRule="auto"/>
        <w:rPr>
          <w:rFonts w:ascii="Calibri" w:hAnsi="Calibri"/>
          <w:sz w:val="24"/>
          <w:szCs w:val="24"/>
        </w:rPr>
      </w:pPr>
      <w:r w:rsidRPr="00D336B9">
        <w:rPr>
          <w:rFonts w:ascii="Calibri" w:hAnsi="Calibri"/>
          <w:sz w:val="24"/>
          <w:szCs w:val="24"/>
        </w:rPr>
        <w:t xml:space="preserve">holding online information for students prior to their placement to highlight career opportunities in </w:t>
      </w:r>
      <w:proofErr w:type="spellStart"/>
      <w:r w:rsidRPr="00D336B9">
        <w:rPr>
          <w:rFonts w:ascii="Calibri" w:hAnsi="Calibri"/>
          <w:sz w:val="24"/>
          <w:szCs w:val="24"/>
        </w:rPr>
        <w:t>BlueCare</w:t>
      </w:r>
      <w:proofErr w:type="spellEnd"/>
      <w:r w:rsidRPr="00D336B9">
        <w:rPr>
          <w:rFonts w:ascii="Calibri" w:hAnsi="Calibri"/>
          <w:sz w:val="24"/>
          <w:szCs w:val="24"/>
        </w:rPr>
        <w:t xml:space="preserve"> and encourage them to apply for employment </w:t>
      </w:r>
    </w:p>
    <w:p w14:paraId="00B6EAFF" w14:textId="77777777" w:rsidR="00CA4806" w:rsidRDefault="00D336B9" w:rsidP="00D336B9">
      <w:pPr>
        <w:pStyle w:val="BodyText"/>
        <w:numPr>
          <w:ilvl w:val="0"/>
          <w:numId w:val="99"/>
        </w:numPr>
        <w:spacing w:before="0" w:line="312" w:lineRule="auto"/>
        <w:rPr>
          <w:rFonts w:ascii="Calibri" w:hAnsi="Calibri"/>
          <w:sz w:val="24"/>
          <w:szCs w:val="24"/>
        </w:rPr>
      </w:pPr>
      <w:r w:rsidRPr="00D336B9">
        <w:rPr>
          <w:rFonts w:ascii="Calibri" w:hAnsi="Calibri"/>
          <w:sz w:val="24"/>
          <w:szCs w:val="24"/>
        </w:rPr>
        <w:t xml:space="preserve">regular check-ins between trainees and leaders to manage wellbeing and learning progress. </w:t>
      </w:r>
    </w:p>
    <w:p w14:paraId="36CEC64F" w14:textId="0461DAF5" w:rsidR="00D336B9" w:rsidRDefault="00D336B9" w:rsidP="00CA4806">
      <w:pPr>
        <w:pStyle w:val="BodyText"/>
        <w:spacing w:before="0" w:line="312" w:lineRule="auto"/>
        <w:rPr>
          <w:rFonts w:ascii="Calibri" w:hAnsi="Calibri"/>
          <w:sz w:val="24"/>
          <w:szCs w:val="24"/>
        </w:rPr>
      </w:pPr>
      <w:r w:rsidRPr="00CA4806">
        <w:rPr>
          <w:rFonts w:ascii="Calibri" w:hAnsi="Calibri"/>
          <w:sz w:val="24"/>
          <w:szCs w:val="24"/>
        </w:rPr>
        <w:t xml:space="preserve">All these actions are combining to improve workforce attraction and retention and build a strong culture of supported learning and development at </w:t>
      </w:r>
      <w:proofErr w:type="spellStart"/>
      <w:r w:rsidRPr="00CA4806">
        <w:rPr>
          <w:rFonts w:ascii="Calibri" w:hAnsi="Calibri"/>
          <w:sz w:val="24"/>
          <w:szCs w:val="24"/>
        </w:rPr>
        <w:t>BlueCare</w:t>
      </w:r>
      <w:proofErr w:type="spellEnd"/>
      <w:r w:rsidRPr="00CA4806">
        <w:rPr>
          <w:rFonts w:ascii="Calibri" w:hAnsi="Calibri"/>
          <w:sz w:val="24"/>
          <w:szCs w:val="24"/>
        </w:rPr>
        <w:t>. Paid placements have also supported existing workers to upskill with a qualification and progress to new roles internally.</w:t>
      </w:r>
    </w:p>
    <w:p w14:paraId="7BCB6906" w14:textId="6391A746" w:rsidR="003A2379" w:rsidRPr="000A5665" w:rsidRDefault="00BF3222" w:rsidP="003A2379">
      <w:pPr>
        <w:pStyle w:val="Heading1"/>
        <w:spacing w:line="240" w:lineRule="auto"/>
        <w:rPr>
          <w:rFonts w:ascii="Calibri" w:hAnsi="Calibri"/>
          <w:color w:val="8331A7"/>
        </w:rPr>
      </w:pPr>
      <w:bookmarkStart w:id="20" w:name="_Toc199322315"/>
      <w:r w:rsidRPr="00BF3222">
        <w:rPr>
          <w:rFonts w:ascii="Calibri" w:hAnsi="Calibri"/>
          <w:color w:val="8331A7"/>
        </w:rPr>
        <w:lastRenderedPageBreak/>
        <w:t>Developing skills and recognising</w:t>
      </w:r>
      <w:r>
        <w:rPr>
          <w:rFonts w:ascii="Calibri" w:hAnsi="Calibri"/>
          <w:color w:val="8331A7"/>
        </w:rPr>
        <w:t xml:space="preserve"> </w:t>
      </w:r>
      <w:r w:rsidRPr="00BF3222">
        <w:rPr>
          <w:rFonts w:ascii="Calibri" w:hAnsi="Calibri"/>
          <w:color w:val="8331A7"/>
        </w:rPr>
        <w:t>experience</w:t>
      </w:r>
      <w:bookmarkEnd w:id="20"/>
    </w:p>
    <w:p w14:paraId="45890E61" w14:textId="77777777" w:rsidR="003A2379" w:rsidRPr="000A5665" w:rsidRDefault="003A2379" w:rsidP="003A2379">
      <w:pPr>
        <w:pStyle w:val="Heading2"/>
        <w:numPr>
          <w:ilvl w:val="0"/>
          <w:numId w:val="0"/>
        </w:numPr>
        <w:spacing w:line="240" w:lineRule="auto"/>
        <w:rPr>
          <w:rFonts w:ascii="Calibri" w:hAnsi="Calibri"/>
          <w:color w:val="8331A7"/>
        </w:rPr>
      </w:pPr>
      <w:bookmarkStart w:id="21" w:name="_Toc199322316"/>
      <w:r w:rsidRPr="00F53ABC">
        <w:rPr>
          <w:rFonts w:ascii="Calibri" w:hAnsi="Calibri"/>
          <w:color w:val="8331A7"/>
        </w:rPr>
        <w:t>Why it is important</w:t>
      </w:r>
      <w:bookmarkEnd w:id="21"/>
    </w:p>
    <w:p w14:paraId="7894B407" w14:textId="7278DE35" w:rsidR="003A2379" w:rsidRDefault="00F63BAE" w:rsidP="00F63BAE">
      <w:pPr>
        <w:pStyle w:val="BodyText"/>
        <w:spacing w:before="0" w:line="312" w:lineRule="auto"/>
        <w:rPr>
          <w:rFonts w:ascii="Calibri" w:hAnsi="Calibri"/>
          <w:sz w:val="24"/>
          <w:szCs w:val="24"/>
        </w:rPr>
      </w:pPr>
      <w:r w:rsidRPr="00F63BAE">
        <w:rPr>
          <w:rFonts w:ascii="Calibri" w:hAnsi="Calibri"/>
          <w:sz w:val="24"/>
          <w:szCs w:val="24"/>
        </w:rPr>
        <w:t>Continuous learning and skill development are important to equip the workforce to meet the unique challenges of the care and support sector, improve outcomes for individual and their families. People working in the care and support sector need to have the contemporary skills to support person-centred and culturally safe approaches. This requires employers, and education and training providers to work together to build the capabilities of new entrants and existing workers.</w:t>
      </w:r>
    </w:p>
    <w:p w14:paraId="626DB568" w14:textId="3CA1E9CE" w:rsidR="0019538A" w:rsidRPr="000A5665" w:rsidRDefault="00647798" w:rsidP="0019538A">
      <w:pPr>
        <w:pStyle w:val="Heading2"/>
        <w:numPr>
          <w:ilvl w:val="0"/>
          <w:numId w:val="0"/>
        </w:numPr>
        <w:spacing w:line="240" w:lineRule="auto"/>
        <w:rPr>
          <w:rFonts w:ascii="Calibri" w:hAnsi="Calibri"/>
          <w:color w:val="8331A7"/>
        </w:rPr>
      </w:pPr>
      <w:bookmarkStart w:id="22" w:name="_Toc199322317"/>
      <w:r w:rsidRPr="00647798">
        <w:rPr>
          <w:rFonts w:ascii="Calibri" w:hAnsi="Calibri"/>
          <w:color w:val="8331A7"/>
        </w:rPr>
        <w:t>What are the common barriers</w:t>
      </w:r>
      <w:bookmarkEnd w:id="22"/>
    </w:p>
    <w:p w14:paraId="43DBB979" w14:textId="24F8778E" w:rsidR="009B2591" w:rsidRPr="001C19A0" w:rsidRDefault="00A97AD2" w:rsidP="009B2591">
      <w:pPr>
        <w:pStyle w:val="BodyText"/>
        <w:spacing w:before="0" w:after="0" w:line="312" w:lineRule="auto"/>
        <w:rPr>
          <w:rFonts w:ascii="Calibri" w:hAnsi="Calibri"/>
          <w:color w:val="7030A0"/>
          <w:sz w:val="28"/>
          <w:szCs w:val="28"/>
        </w:rPr>
      </w:pPr>
      <w:r w:rsidRPr="00A97AD2">
        <w:rPr>
          <w:rFonts w:ascii="Calibri" w:hAnsi="Calibri"/>
          <w:color w:val="7030A0"/>
          <w:sz w:val="28"/>
          <w:szCs w:val="28"/>
        </w:rPr>
        <w:t>Cost for workers</w:t>
      </w:r>
    </w:p>
    <w:p w14:paraId="283B63E8" w14:textId="2B699D66" w:rsidR="0019538A" w:rsidRDefault="00370392" w:rsidP="009B2591">
      <w:pPr>
        <w:pStyle w:val="BodyText"/>
        <w:spacing w:before="0" w:line="312" w:lineRule="auto"/>
        <w:rPr>
          <w:rFonts w:ascii="Calibri" w:hAnsi="Calibri"/>
          <w:sz w:val="24"/>
          <w:szCs w:val="24"/>
        </w:rPr>
      </w:pPr>
      <w:r w:rsidRPr="00370392">
        <w:rPr>
          <w:rFonts w:ascii="Calibri" w:hAnsi="Calibri"/>
          <w:sz w:val="24"/>
          <w:szCs w:val="24"/>
        </w:rPr>
        <w:t>Many entry-level roles have employment conditions that involve upfront fees (for example, paying for police checks). Training courses also often have upfront fees. This reduces the ability for students and workers to self-fund their training. Entry level workers in the sector typically do not have the resources to support themselves to complete the required training. Even where they can, the lack of pay increases for completing additional training discourages workers from pursuing further professional development opportunities.</w:t>
      </w:r>
    </w:p>
    <w:p w14:paraId="2D885E86" w14:textId="607BCA59" w:rsidR="00E85531" w:rsidRPr="001C19A0" w:rsidRDefault="00F71745" w:rsidP="00E85531">
      <w:pPr>
        <w:pStyle w:val="BodyText"/>
        <w:spacing w:before="0" w:after="0" w:line="312" w:lineRule="auto"/>
        <w:rPr>
          <w:rFonts w:ascii="Calibri" w:hAnsi="Calibri"/>
          <w:color w:val="7030A0"/>
          <w:sz w:val="28"/>
          <w:szCs w:val="28"/>
        </w:rPr>
      </w:pPr>
      <w:r w:rsidRPr="00F71745">
        <w:rPr>
          <w:rFonts w:ascii="Calibri" w:hAnsi="Calibri"/>
          <w:color w:val="7030A0"/>
          <w:sz w:val="28"/>
          <w:szCs w:val="28"/>
        </w:rPr>
        <w:t>Resourcing constraints</w:t>
      </w:r>
    </w:p>
    <w:p w14:paraId="7A085A97" w14:textId="5FC9A07D" w:rsidR="00E85531" w:rsidRDefault="00227670" w:rsidP="00E85531">
      <w:pPr>
        <w:pStyle w:val="BodyText"/>
        <w:spacing w:before="0" w:line="312" w:lineRule="auto"/>
        <w:rPr>
          <w:rFonts w:ascii="Calibri" w:hAnsi="Calibri"/>
          <w:sz w:val="24"/>
          <w:szCs w:val="24"/>
        </w:rPr>
      </w:pPr>
      <w:r w:rsidRPr="00227670">
        <w:rPr>
          <w:rFonts w:ascii="Calibri" w:hAnsi="Calibri"/>
          <w:sz w:val="24"/>
          <w:szCs w:val="24"/>
        </w:rPr>
        <w:t>Other factors that can limit professional development are heavy workloads, shortages of skilled supervisors, lack of management commitment to training, and organisational systems that cannot adapt to the required workforce flexibility. These all create challenges in finding time to undertake professional development and are exacerbated by the high proportion of casual and part-time workers in the care sector.</w:t>
      </w:r>
    </w:p>
    <w:p w14:paraId="20AF8E2A" w14:textId="05FCEA21" w:rsidR="00B410DC" w:rsidRPr="001C19A0" w:rsidRDefault="00816A36" w:rsidP="00B410DC">
      <w:pPr>
        <w:pStyle w:val="BodyText"/>
        <w:spacing w:before="0" w:after="0" w:line="312" w:lineRule="auto"/>
        <w:rPr>
          <w:rFonts w:ascii="Calibri" w:hAnsi="Calibri"/>
          <w:color w:val="7030A0"/>
          <w:sz w:val="28"/>
          <w:szCs w:val="28"/>
        </w:rPr>
      </w:pPr>
      <w:r w:rsidRPr="00816A36">
        <w:rPr>
          <w:rFonts w:ascii="Calibri" w:hAnsi="Calibri"/>
          <w:color w:val="7030A0"/>
          <w:sz w:val="28"/>
          <w:szCs w:val="28"/>
        </w:rPr>
        <w:t>Training availability</w:t>
      </w:r>
    </w:p>
    <w:p w14:paraId="21C86AA2" w14:textId="4502CFF9" w:rsidR="00B410DC" w:rsidRDefault="004B13D4" w:rsidP="004B13D4">
      <w:pPr>
        <w:pStyle w:val="BodyText"/>
        <w:spacing w:before="0" w:line="312" w:lineRule="auto"/>
        <w:rPr>
          <w:rFonts w:ascii="Calibri" w:hAnsi="Calibri"/>
          <w:sz w:val="24"/>
          <w:szCs w:val="24"/>
        </w:rPr>
      </w:pPr>
      <w:r w:rsidRPr="004B13D4">
        <w:rPr>
          <w:rFonts w:ascii="Calibri" w:hAnsi="Calibri"/>
          <w:sz w:val="24"/>
          <w:szCs w:val="24"/>
        </w:rPr>
        <w:t>There are limited training options that relate specifically to each of the different needs within the care and support sector. A particular gap is the various skilling needed for career progression, such as leadership or more managerial roles. This makes it hard for employers to find ‘off the shelf’ products that meet their needs, and more expensive to support professional development.</w:t>
      </w:r>
    </w:p>
    <w:p w14:paraId="258A68DB" w14:textId="44FC1020" w:rsidR="00356469" w:rsidRPr="001C19A0" w:rsidRDefault="00466D97" w:rsidP="00356469">
      <w:pPr>
        <w:pStyle w:val="BodyText"/>
        <w:spacing w:before="0" w:after="0" w:line="312" w:lineRule="auto"/>
        <w:rPr>
          <w:rFonts w:ascii="Calibri" w:hAnsi="Calibri"/>
          <w:color w:val="7030A0"/>
          <w:sz w:val="28"/>
          <w:szCs w:val="28"/>
        </w:rPr>
      </w:pPr>
      <w:r w:rsidRPr="00466D97">
        <w:rPr>
          <w:rFonts w:ascii="Calibri" w:hAnsi="Calibri"/>
          <w:color w:val="7030A0"/>
          <w:sz w:val="28"/>
          <w:szCs w:val="28"/>
        </w:rPr>
        <w:t>Recognition of Prior Learning</w:t>
      </w:r>
    </w:p>
    <w:p w14:paraId="7192BDDB" w14:textId="0091A4B6" w:rsidR="00356469" w:rsidRDefault="003729EE" w:rsidP="003729EE">
      <w:pPr>
        <w:pStyle w:val="BodyText"/>
        <w:spacing w:before="0" w:line="312" w:lineRule="auto"/>
        <w:rPr>
          <w:rFonts w:ascii="Calibri" w:hAnsi="Calibri"/>
          <w:sz w:val="24"/>
          <w:szCs w:val="24"/>
        </w:rPr>
      </w:pPr>
      <w:r w:rsidRPr="003729EE">
        <w:rPr>
          <w:rFonts w:ascii="Calibri" w:hAnsi="Calibri"/>
          <w:sz w:val="24"/>
          <w:szCs w:val="24"/>
        </w:rPr>
        <w:t xml:space="preserve">The care workforce could benefit from the many people who have significant relevant experience working in, or even outside, the sector but no formal qualifications. Recognition of Prior Learning (RPL) is a key mechanism for these workers but is difficult, and costly, for both employers and training providers, with </w:t>
      </w:r>
      <w:r w:rsidRPr="003729EE">
        <w:rPr>
          <w:rFonts w:ascii="Calibri" w:hAnsi="Calibri"/>
          <w:sz w:val="24"/>
          <w:szCs w:val="24"/>
        </w:rPr>
        <w:lastRenderedPageBreak/>
        <w:t>limited guidance on how RPL processes can best be applied to support workers to gain formal qualifications.</w:t>
      </w:r>
    </w:p>
    <w:p w14:paraId="759A6083" w14:textId="46B2810E" w:rsidR="004B087F" w:rsidRPr="000A5665" w:rsidRDefault="00364C37" w:rsidP="004B087F">
      <w:pPr>
        <w:pStyle w:val="Heading2"/>
        <w:numPr>
          <w:ilvl w:val="0"/>
          <w:numId w:val="0"/>
        </w:numPr>
        <w:spacing w:line="240" w:lineRule="auto"/>
        <w:rPr>
          <w:rFonts w:ascii="Calibri" w:hAnsi="Calibri"/>
          <w:color w:val="8331A7"/>
        </w:rPr>
      </w:pPr>
      <w:bookmarkStart w:id="23" w:name="_Toc199322318"/>
      <w:r w:rsidRPr="00364C37">
        <w:rPr>
          <w:rFonts w:ascii="Calibri" w:hAnsi="Calibri"/>
          <w:color w:val="8331A7"/>
        </w:rPr>
        <w:t>Effective strategies</w:t>
      </w:r>
      <w:bookmarkEnd w:id="23"/>
    </w:p>
    <w:p w14:paraId="5113B73A" w14:textId="7E2A6CFF" w:rsidR="00364C37" w:rsidRPr="001C19A0" w:rsidRDefault="00F607C4" w:rsidP="00364C37">
      <w:pPr>
        <w:pStyle w:val="BodyText"/>
        <w:spacing w:before="0" w:after="0" w:line="312" w:lineRule="auto"/>
        <w:rPr>
          <w:rFonts w:ascii="Calibri" w:hAnsi="Calibri"/>
          <w:color w:val="7030A0"/>
          <w:sz w:val="28"/>
          <w:szCs w:val="28"/>
        </w:rPr>
      </w:pPr>
      <w:r w:rsidRPr="00F607C4">
        <w:rPr>
          <w:rFonts w:ascii="Calibri" w:hAnsi="Calibri"/>
          <w:color w:val="7030A0"/>
          <w:sz w:val="28"/>
          <w:szCs w:val="28"/>
        </w:rPr>
        <w:t>4A – Learning cultures</w:t>
      </w:r>
    </w:p>
    <w:p w14:paraId="69802F10" w14:textId="7B4F9076" w:rsidR="004B087F" w:rsidRDefault="00C17A7C" w:rsidP="00C17A7C">
      <w:pPr>
        <w:pStyle w:val="BodyText"/>
        <w:spacing w:before="0" w:line="312" w:lineRule="auto"/>
        <w:rPr>
          <w:rFonts w:ascii="Calibri" w:hAnsi="Calibri"/>
          <w:sz w:val="24"/>
          <w:szCs w:val="24"/>
        </w:rPr>
      </w:pPr>
      <w:r w:rsidRPr="00C17A7C">
        <w:rPr>
          <w:rFonts w:ascii="Calibri" w:hAnsi="Calibri"/>
          <w:sz w:val="24"/>
          <w:szCs w:val="24"/>
        </w:rPr>
        <w:t>Employers have established effective learning cultures through activities that include valuing the role of educators (often with dedicated roles or pathways within organisations), committing to evidence-based practice, structuring process for orientation and learning opportunities, codifying relationships with providers and employers, and providing access to appropriate facilities and environments. These have all enabled them to better support high quality professional development.</w:t>
      </w:r>
    </w:p>
    <w:p w14:paraId="204A2CB3" w14:textId="14BBDE2D" w:rsidR="00461440" w:rsidRPr="001C19A0" w:rsidRDefault="00FC2947" w:rsidP="00461440">
      <w:pPr>
        <w:pStyle w:val="BodyText"/>
        <w:spacing w:before="0" w:after="0" w:line="312" w:lineRule="auto"/>
        <w:rPr>
          <w:rFonts w:ascii="Calibri" w:hAnsi="Calibri"/>
          <w:color w:val="7030A0"/>
          <w:sz w:val="28"/>
          <w:szCs w:val="28"/>
        </w:rPr>
      </w:pPr>
      <w:r w:rsidRPr="00FC2947">
        <w:rPr>
          <w:rFonts w:ascii="Calibri" w:hAnsi="Calibri"/>
          <w:color w:val="7030A0"/>
          <w:sz w:val="28"/>
          <w:szCs w:val="28"/>
        </w:rPr>
        <w:t>4B – Recognising the return on investment of training</w:t>
      </w:r>
    </w:p>
    <w:p w14:paraId="49D820D4" w14:textId="643D5F27" w:rsidR="00461440" w:rsidRDefault="00934CE3" w:rsidP="00934CE3">
      <w:pPr>
        <w:pStyle w:val="BodyText"/>
        <w:spacing w:before="0" w:line="312" w:lineRule="auto"/>
        <w:rPr>
          <w:rFonts w:ascii="Calibri" w:hAnsi="Calibri"/>
          <w:sz w:val="24"/>
          <w:szCs w:val="24"/>
        </w:rPr>
      </w:pPr>
      <w:r w:rsidRPr="00934CE3">
        <w:rPr>
          <w:rFonts w:ascii="Calibri" w:hAnsi="Calibri"/>
          <w:sz w:val="24"/>
          <w:szCs w:val="24"/>
        </w:rPr>
        <w:t>Employers have successfully supported training development by clearly articulating the return on investment from funding training for members, outlining the benefits in terms of increased employee satisfaction, higher productivity, greater retention and avoided costs of additional recruitment. This has been further enhanced by also outlining the clear costs of not training the workforce.</w:t>
      </w:r>
    </w:p>
    <w:p w14:paraId="75658AC9" w14:textId="0D412E58" w:rsidR="008665F3" w:rsidRPr="001C19A0" w:rsidRDefault="003410DC" w:rsidP="008665F3">
      <w:pPr>
        <w:pStyle w:val="BodyText"/>
        <w:spacing w:before="0" w:after="0" w:line="312" w:lineRule="auto"/>
        <w:rPr>
          <w:rFonts w:ascii="Calibri" w:hAnsi="Calibri"/>
          <w:color w:val="7030A0"/>
          <w:sz w:val="28"/>
          <w:szCs w:val="28"/>
        </w:rPr>
      </w:pPr>
      <w:r w:rsidRPr="003410DC">
        <w:rPr>
          <w:rFonts w:ascii="Calibri" w:hAnsi="Calibri"/>
          <w:color w:val="7030A0"/>
          <w:sz w:val="28"/>
          <w:szCs w:val="28"/>
        </w:rPr>
        <w:t>4C – Use of skill sets</w:t>
      </w:r>
    </w:p>
    <w:p w14:paraId="3D87BFE6" w14:textId="76FA3870" w:rsidR="008665F3" w:rsidRDefault="00D444D1" w:rsidP="008665F3">
      <w:pPr>
        <w:pStyle w:val="BodyText"/>
        <w:spacing w:before="0" w:line="312" w:lineRule="auto"/>
        <w:rPr>
          <w:rFonts w:ascii="Calibri" w:hAnsi="Calibri"/>
          <w:sz w:val="24"/>
          <w:szCs w:val="24"/>
        </w:rPr>
      </w:pPr>
      <w:r w:rsidRPr="00D444D1">
        <w:rPr>
          <w:rFonts w:ascii="Calibri" w:hAnsi="Calibri"/>
          <w:sz w:val="24"/>
          <w:szCs w:val="24"/>
        </w:rPr>
        <w:t>Employers have leveraged nationally recognised skill sets to build the capability of their workforce in particular areas (such as the CHCSS00114 Entry into Care Roles Skill Set, CHCSS00069 Advocacy Skill Set and CHCSS00067 Administer and Monitor Medication Skill Set). This has proven to be a cost-effective approach to formal education and training, with lower administrative burden and need to cover staff to be released for training.</w:t>
      </w:r>
    </w:p>
    <w:p w14:paraId="728C4882" w14:textId="03C2FE4B" w:rsidR="00FE590A" w:rsidRPr="001C19A0" w:rsidRDefault="005B6E9A" w:rsidP="00FE590A">
      <w:pPr>
        <w:pStyle w:val="BodyText"/>
        <w:spacing w:before="0" w:after="0" w:line="312" w:lineRule="auto"/>
        <w:rPr>
          <w:rFonts w:ascii="Calibri" w:hAnsi="Calibri"/>
          <w:color w:val="7030A0"/>
          <w:sz w:val="28"/>
          <w:szCs w:val="28"/>
        </w:rPr>
      </w:pPr>
      <w:r w:rsidRPr="005B6E9A">
        <w:rPr>
          <w:rFonts w:ascii="Calibri" w:hAnsi="Calibri"/>
          <w:color w:val="7030A0"/>
          <w:sz w:val="28"/>
          <w:szCs w:val="28"/>
        </w:rPr>
        <w:t>4D – Recognition of Prior Learning (RPL)</w:t>
      </w:r>
    </w:p>
    <w:p w14:paraId="0C77FF5D" w14:textId="59AC51CF" w:rsidR="00FE590A" w:rsidRDefault="00653468" w:rsidP="00FE590A">
      <w:pPr>
        <w:pStyle w:val="BodyText"/>
        <w:spacing w:before="0" w:line="312" w:lineRule="auto"/>
        <w:rPr>
          <w:rFonts w:ascii="Calibri" w:hAnsi="Calibri"/>
          <w:sz w:val="24"/>
          <w:szCs w:val="24"/>
        </w:rPr>
      </w:pPr>
      <w:r w:rsidRPr="00653468">
        <w:rPr>
          <w:rFonts w:ascii="Calibri" w:hAnsi="Calibri"/>
          <w:sz w:val="24"/>
          <w:szCs w:val="24"/>
        </w:rPr>
        <w:t xml:space="preserve">Some employers have established partnerships with RTOs to provide existing workers with cost-effective RPL to attain nationally recognised qualifications. This has helped with employee satisfaction and retention, with staff feeling more valued </w:t>
      </w:r>
      <w:proofErr w:type="gramStart"/>
      <w:r w:rsidRPr="00653468">
        <w:rPr>
          <w:rFonts w:ascii="Calibri" w:hAnsi="Calibri"/>
          <w:sz w:val="24"/>
          <w:szCs w:val="24"/>
        </w:rPr>
        <w:t>as a result of</w:t>
      </w:r>
      <w:proofErr w:type="gramEnd"/>
      <w:r w:rsidRPr="00653468">
        <w:rPr>
          <w:rFonts w:ascii="Calibri" w:hAnsi="Calibri"/>
          <w:sz w:val="24"/>
          <w:szCs w:val="24"/>
        </w:rPr>
        <w:t xml:space="preserve"> having their skills and experience recognised.</w:t>
      </w:r>
    </w:p>
    <w:p w14:paraId="6E79C36A" w14:textId="7871E836" w:rsidR="00A2278F" w:rsidRPr="001C19A0" w:rsidRDefault="00B05C41" w:rsidP="00A2278F">
      <w:pPr>
        <w:pStyle w:val="BodyText"/>
        <w:spacing w:before="0" w:after="0" w:line="312" w:lineRule="auto"/>
        <w:rPr>
          <w:rFonts w:ascii="Calibri" w:hAnsi="Calibri"/>
          <w:color w:val="7030A0"/>
          <w:sz w:val="28"/>
          <w:szCs w:val="28"/>
        </w:rPr>
      </w:pPr>
      <w:r w:rsidRPr="00B05C41">
        <w:rPr>
          <w:rFonts w:ascii="Calibri" w:hAnsi="Calibri"/>
          <w:color w:val="7030A0"/>
          <w:sz w:val="28"/>
          <w:szCs w:val="28"/>
        </w:rPr>
        <w:t>4E – Flexible rostering</w:t>
      </w:r>
    </w:p>
    <w:p w14:paraId="4861E422" w14:textId="4F9296B5" w:rsidR="00A2278F" w:rsidRDefault="00AE029A" w:rsidP="00AE029A">
      <w:pPr>
        <w:pStyle w:val="BodyText"/>
        <w:spacing w:before="0" w:line="312" w:lineRule="auto"/>
        <w:rPr>
          <w:rFonts w:ascii="Calibri" w:hAnsi="Calibri"/>
          <w:sz w:val="24"/>
          <w:szCs w:val="24"/>
        </w:rPr>
      </w:pPr>
      <w:r w:rsidRPr="00AE029A">
        <w:rPr>
          <w:rFonts w:ascii="Calibri" w:hAnsi="Calibri"/>
          <w:sz w:val="24"/>
          <w:szCs w:val="24"/>
        </w:rPr>
        <w:t>Flexible rostering can support training by providing opportunities for staff to participate in training while maintaining work schedules. These practices allow workers employees to choose shifts based on their personal commitments, facilitating scheduling around training modules.</w:t>
      </w:r>
    </w:p>
    <w:p w14:paraId="727A2D04" w14:textId="39E04E6A" w:rsidR="002540C4" w:rsidRPr="001C19A0" w:rsidRDefault="00177BC9" w:rsidP="002540C4">
      <w:pPr>
        <w:pStyle w:val="BodyText"/>
        <w:spacing w:before="0" w:after="0" w:line="312" w:lineRule="auto"/>
        <w:rPr>
          <w:rFonts w:ascii="Calibri" w:hAnsi="Calibri"/>
          <w:color w:val="7030A0"/>
          <w:sz w:val="28"/>
          <w:szCs w:val="28"/>
        </w:rPr>
      </w:pPr>
      <w:r w:rsidRPr="00177BC9">
        <w:rPr>
          <w:rFonts w:ascii="Calibri" w:hAnsi="Calibri"/>
          <w:color w:val="7030A0"/>
          <w:sz w:val="28"/>
          <w:szCs w:val="28"/>
        </w:rPr>
        <w:t>4F – Access to funded training</w:t>
      </w:r>
    </w:p>
    <w:p w14:paraId="174777ED" w14:textId="6E5C8C4A" w:rsidR="00E24AB7" w:rsidRDefault="00E45C3D" w:rsidP="002540C4">
      <w:pPr>
        <w:pStyle w:val="BodyText"/>
        <w:spacing w:before="0" w:line="312" w:lineRule="auto"/>
        <w:rPr>
          <w:rFonts w:ascii="Calibri" w:hAnsi="Calibri"/>
          <w:sz w:val="24"/>
          <w:szCs w:val="24"/>
        </w:rPr>
      </w:pPr>
      <w:r w:rsidRPr="00E45C3D">
        <w:rPr>
          <w:rFonts w:ascii="Calibri" w:hAnsi="Calibri"/>
          <w:sz w:val="24"/>
          <w:szCs w:val="24"/>
        </w:rPr>
        <w:t>There are various government programs in place to support workers to access training in the care and support economy, given the priority for workforce developments, including Fee Free TAFE. Employers can work with their staff to apply for these training places to reduce costs to the worker.</w:t>
      </w:r>
    </w:p>
    <w:p w14:paraId="619A25D1" w14:textId="4239C2AC" w:rsidR="00450496" w:rsidRPr="000A5665" w:rsidRDefault="004B2B08" w:rsidP="00450496">
      <w:pPr>
        <w:pStyle w:val="Heading2"/>
        <w:numPr>
          <w:ilvl w:val="0"/>
          <w:numId w:val="0"/>
        </w:numPr>
        <w:spacing w:line="240" w:lineRule="auto"/>
        <w:rPr>
          <w:rFonts w:ascii="Calibri" w:hAnsi="Calibri"/>
          <w:color w:val="8331A7"/>
        </w:rPr>
      </w:pPr>
      <w:bookmarkStart w:id="24" w:name="_Toc199322319"/>
      <w:r w:rsidRPr="004B2B08">
        <w:rPr>
          <w:rFonts w:ascii="Calibri" w:hAnsi="Calibri"/>
          <w:color w:val="8331A7"/>
        </w:rPr>
        <w:lastRenderedPageBreak/>
        <w:t>Case study – Crosslinks</w:t>
      </w:r>
      <w:bookmarkEnd w:id="24"/>
    </w:p>
    <w:p w14:paraId="436B7C66" w14:textId="77777777" w:rsidR="001D6636" w:rsidRDefault="00450496" w:rsidP="00450496">
      <w:pPr>
        <w:pStyle w:val="BodyText"/>
        <w:spacing w:before="0" w:line="312" w:lineRule="auto"/>
        <w:rPr>
          <w:rFonts w:ascii="Calibri" w:hAnsi="Calibri"/>
          <w:sz w:val="24"/>
          <w:szCs w:val="24"/>
        </w:rPr>
      </w:pPr>
      <w:r w:rsidRPr="00845402">
        <w:rPr>
          <w:rFonts w:ascii="Calibri" w:hAnsi="Calibri"/>
          <w:sz w:val="24"/>
          <w:szCs w:val="24"/>
        </w:rPr>
        <w:t xml:space="preserve">This case study </w:t>
      </w:r>
      <w:r w:rsidR="001D6636" w:rsidRPr="001D6636">
        <w:rPr>
          <w:rFonts w:ascii="Calibri" w:hAnsi="Calibri"/>
          <w:sz w:val="24"/>
          <w:szCs w:val="24"/>
        </w:rPr>
        <w:t>This case study demonstrates strategy 4D, which has been successfully implemented through an industry-training provider partnership.</w:t>
      </w:r>
    </w:p>
    <w:p w14:paraId="1B94B728" w14:textId="77777777" w:rsidR="009A6C24" w:rsidRDefault="00A10B30" w:rsidP="00A10B30">
      <w:pPr>
        <w:pStyle w:val="BodyText"/>
        <w:spacing w:before="0" w:line="312" w:lineRule="auto"/>
        <w:rPr>
          <w:rFonts w:ascii="Calibri" w:hAnsi="Calibri"/>
          <w:sz w:val="24"/>
          <w:szCs w:val="24"/>
        </w:rPr>
      </w:pPr>
      <w:r w:rsidRPr="00A10B30">
        <w:rPr>
          <w:rFonts w:ascii="Calibri" w:hAnsi="Calibri"/>
          <w:sz w:val="24"/>
          <w:szCs w:val="24"/>
        </w:rPr>
        <w:t xml:space="preserve">Crosslinks is a not-for-profit registered NDIS provider who has been supporting people with disabilities for over 27 years. It delivers services across metropolitan Perth that cover Supported Independent Living – long term accommodation, Community Participation and Activities, and Support Coordination. </w:t>
      </w:r>
    </w:p>
    <w:p w14:paraId="3516A0E6" w14:textId="77777777" w:rsidR="009A6C24" w:rsidRDefault="00A10B30" w:rsidP="00A10B30">
      <w:pPr>
        <w:pStyle w:val="BodyText"/>
        <w:spacing w:before="0" w:line="312" w:lineRule="auto"/>
        <w:rPr>
          <w:rFonts w:ascii="Calibri" w:hAnsi="Calibri"/>
          <w:sz w:val="24"/>
          <w:szCs w:val="24"/>
        </w:rPr>
      </w:pPr>
      <w:r w:rsidRPr="00A10B30">
        <w:rPr>
          <w:rFonts w:ascii="Calibri" w:hAnsi="Calibri"/>
          <w:sz w:val="24"/>
          <w:szCs w:val="24"/>
        </w:rPr>
        <w:t xml:space="preserve">It has more than 240 staff working under the guiding principles of collaboration, effective listening, experiencing fun, doing what’s right for participants, and striving every day to make a positive difference. Crosslinks </w:t>
      </w:r>
      <w:proofErr w:type="gramStart"/>
      <w:r w:rsidRPr="00A10B30">
        <w:rPr>
          <w:rFonts w:ascii="Calibri" w:hAnsi="Calibri"/>
          <w:sz w:val="24"/>
          <w:szCs w:val="24"/>
        </w:rPr>
        <w:t>prides</w:t>
      </w:r>
      <w:proofErr w:type="gramEnd"/>
      <w:r w:rsidRPr="00A10B30">
        <w:rPr>
          <w:rFonts w:ascii="Calibri" w:hAnsi="Calibri"/>
          <w:sz w:val="24"/>
          <w:szCs w:val="24"/>
        </w:rPr>
        <w:t xml:space="preserve"> itself on having a workforce with the right skills and access to the resources necessary to provide the highest quality care for each participant. </w:t>
      </w:r>
    </w:p>
    <w:p w14:paraId="402B2FEC" w14:textId="77777777" w:rsidR="009A6C24" w:rsidRDefault="00A10B30" w:rsidP="00A10B30">
      <w:pPr>
        <w:pStyle w:val="BodyText"/>
        <w:spacing w:before="0" w:line="312" w:lineRule="auto"/>
        <w:rPr>
          <w:rFonts w:ascii="Calibri" w:hAnsi="Calibri"/>
          <w:sz w:val="24"/>
          <w:szCs w:val="24"/>
        </w:rPr>
      </w:pPr>
      <w:r w:rsidRPr="00A10B30">
        <w:rPr>
          <w:rFonts w:ascii="Calibri" w:hAnsi="Calibri"/>
          <w:sz w:val="24"/>
          <w:szCs w:val="24"/>
        </w:rPr>
        <w:t xml:space="preserve">To foster growth and empower the Crosslinks workforce, as well as benefit the broader community of entry level workers in the disability support sector, Crosslink established a new approach for accessing and completing formal qualifications on-the-job – called the ‘Fast Tracking a Skilled Workforce’ (FTSW) initiative. </w:t>
      </w:r>
    </w:p>
    <w:p w14:paraId="76779193" w14:textId="77777777" w:rsidR="009A6C24" w:rsidRDefault="00A10B30" w:rsidP="00A10B30">
      <w:pPr>
        <w:pStyle w:val="BodyText"/>
        <w:spacing w:before="0" w:line="312" w:lineRule="auto"/>
        <w:rPr>
          <w:rFonts w:ascii="Calibri" w:hAnsi="Calibri"/>
          <w:sz w:val="24"/>
          <w:szCs w:val="24"/>
        </w:rPr>
      </w:pPr>
      <w:r w:rsidRPr="00A10B30">
        <w:rPr>
          <w:rFonts w:ascii="Calibri" w:hAnsi="Calibri"/>
          <w:sz w:val="24"/>
          <w:szCs w:val="24"/>
        </w:rPr>
        <w:t xml:space="preserve">The FTSW initiative was designed to build on the existing Crosslinks employee training and previous on-the-job experience within a Recognised Prior Learning (RPL) framework to contribute to and fast-track completion of selected formal qualifications (including Certificate III, IV or Diploma in Community Services, and Certificate IV in Disability). The RPL and any gaps in credits required for graduation are supplemented with a tailored learning program for each person to achieve their qualification goal. </w:t>
      </w:r>
    </w:p>
    <w:p w14:paraId="20FE0544" w14:textId="77777777" w:rsidR="009A6C24" w:rsidRDefault="00A10B30" w:rsidP="00A10B30">
      <w:pPr>
        <w:pStyle w:val="BodyText"/>
        <w:spacing w:before="0" w:line="312" w:lineRule="auto"/>
        <w:rPr>
          <w:rFonts w:ascii="Calibri" w:hAnsi="Calibri"/>
          <w:sz w:val="24"/>
          <w:szCs w:val="24"/>
        </w:rPr>
      </w:pPr>
      <w:r w:rsidRPr="00A10B30">
        <w:rPr>
          <w:rFonts w:ascii="Calibri" w:hAnsi="Calibri"/>
          <w:sz w:val="24"/>
          <w:szCs w:val="24"/>
        </w:rPr>
        <w:t xml:space="preserve">In doing this, Crosslinks collaborated with </w:t>
      </w:r>
      <w:proofErr w:type="spellStart"/>
      <w:r w:rsidRPr="00A10B30">
        <w:rPr>
          <w:rFonts w:ascii="Calibri" w:hAnsi="Calibri"/>
          <w:sz w:val="24"/>
          <w:szCs w:val="24"/>
        </w:rPr>
        <w:t>iinduct</w:t>
      </w:r>
      <w:proofErr w:type="spellEnd"/>
      <w:r w:rsidRPr="00A10B30">
        <w:rPr>
          <w:rFonts w:ascii="Calibri" w:hAnsi="Calibri"/>
          <w:sz w:val="24"/>
          <w:szCs w:val="24"/>
        </w:rPr>
        <w:t xml:space="preserve"> (who provide a specialised online learning product able to evidence student knowledge and facilitate personalised learning needs analysis for course completion) and the Bradford Institute of Advanced Education (an RTO experienced in community service professionals) to bring the concept to life. Two disability services organisations were initially engaged to pilot the program, alongside Crosslinks itself, to demonstrate success and scalability. After the first year, the partnership included eight organisations in total. The initiative was supported by funding through the Department of Communities ‘Disability Workforce Development and Retention Fund’ procured by the NDS. </w:t>
      </w:r>
    </w:p>
    <w:p w14:paraId="75638347" w14:textId="77777777" w:rsidR="00057F95" w:rsidRDefault="00A10B30" w:rsidP="00057F95">
      <w:pPr>
        <w:pStyle w:val="BodyText"/>
        <w:spacing w:before="0" w:line="312" w:lineRule="auto"/>
        <w:rPr>
          <w:rFonts w:ascii="Calibri" w:hAnsi="Calibri"/>
          <w:sz w:val="24"/>
          <w:szCs w:val="24"/>
        </w:rPr>
      </w:pPr>
      <w:r w:rsidRPr="00A10B30">
        <w:rPr>
          <w:rFonts w:ascii="Calibri" w:hAnsi="Calibri"/>
          <w:sz w:val="24"/>
          <w:szCs w:val="24"/>
        </w:rPr>
        <w:t xml:space="preserve">Each participating service organisation had flexibility to define the level of support provided to employees </w:t>
      </w:r>
      <w:r w:rsidRPr="009A6C24">
        <w:rPr>
          <w:rFonts w:ascii="Calibri" w:hAnsi="Calibri"/>
          <w:sz w:val="24"/>
          <w:szCs w:val="24"/>
        </w:rPr>
        <w:t xml:space="preserve">including flexible rostering to attend training, assisting with preparation of RPL evidence, creating workplace learning experiences, and completing performance reports. Crosslinks allocated a dedicated learning and development team member to provide weekly in-person support for all participating employees, as well as ensuring supervisory support for RPL evidence collection. </w:t>
      </w:r>
    </w:p>
    <w:p w14:paraId="540243C0" w14:textId="77777777" w:rsidR="00057F95" w:rsidRDefault="00A10B30" w:rsidP="00057F95">
      <w:pPr>
        <w:pStyle w:val="BodyText"/>
        <w:spacing w:before="0" w:line="312" w:lineRule="auto"/>
        <w:rPr>
          <w:rFonts w:ascii="Calibri" w:hAnsi="Calibri"/>
          <w:sz w:val="24"/>
          <w:szCs w:val="24"/>
        </w:rPr>
      </w:pPr>
      <w:r w:rsidRPr="009A6C24">
        <w:rPr>
          <w:rFonts w:ascii="Calibri" w:hAnsi="Calibri"/>
          <w:sz w:val="24"/>
          <w:szCs w:val="24"/>
        </w:rPr>
        <w:t xml:space="preserve">The FTSW has transformed professional development for Crosslink’s Disability Support Workers and has had a tangible impact on their careers, the business they work for, and for people with disabilities accessing services. Specific outcomes across the varying participating service providers have been: </w:t>
      </w:r>
    </w:p>
    <w:p w14:paraId="185B00B1" w14:textId="77777777" w:rsidR="00057F95" w:rsidRDefault="00A10B30" w:rsidP="00057F95">
      <w:pPr>
        <w:pStyle w:val="BodyText"/>
        <w:numPr>
          <w:ilvl w:val="0"/>
          <w:numId w:val="101"/>
        </w:numPr>
        <w:spacing w:before="0" w:line="312" w:lineRule="auto"/>
        <w:rPr>
          <w:rFonts w:ascii="Calibri" w:hAnsi="Calibri"/>
          <w:sz w:val="24"/>
          <w:szCs w:val="24"/>
        </w:rPr>
      </w:pPr>
      <w:r w:rsidRPr="009A6C24">
        <w:rPr>
          <w:rFonts w:ascii="Calibri" w:hAnsi="Calibri"/>
          <w:sz w:val="24"/>
          <w:szCs w:val="24"/>
        </w:rPr>
        <w:lastRenderedPageBreak/>
        <w:t xml:space="preserve">Enabling 203 Support Workers across the disability sector (within the Crosslinks partnership) to complete 213 formal qualifications and enhance their professional capabilities </w:t>
      </w:r>
    </w:p>
    <w:p w14:paraId="7B2EA148" w14:textId="77777777" w:rsidR="00057F95" w:rsidRDefault="00A10B30" w:rsidP="00057F95">
      <w:pPr>
        <w:pStyle w:val="BodyText"/>
        <w:numPr>
          <w:ilvl w:val="0"/>
          <w:numId w:val="101"/>
        </w:numPr>
        <w:spacing w:before="0" w:line="312" w:lineRule="auto"/>
        <w:rPr>
          <w:rFonts w:ascii="Calibri" w:hAnsi="Calibri"/>
          <w:sz w:val="24"/>
          <w:szCs w:val="24"/>
        </w:rPr>
      </w:pPr>
      <w:r w:rsidRPr="009A6C24">
        <w:rPr>
          <w:rFonts w:ascii="Calibri" w:hAnsi="Calibri"/>
          <w:sz w:val="24"/>
          <w:szCs w:val="24"/>
        </w:rPr>
        <w:t>Increasing participating Support Workers job satisfaction, skill sets and self-confidence in their role</w:t>
      </w:r>
    </w:p>
    <w:p w14:paraId="3A6BB1AD" w14:textId="77777777" w:rsidR="00057F95" w:rsidRDefault="00A10B30" w:rsidP="00057F95">
      <w:pPr>
        <w:pStyle w:val="BodyText"/>
        <w:numPr>
          <w:ilvl w:val="0"/>
          <w:numId w:val="101"/>
        </w:numPr>
        <w:spacing w:before="0" w:line="312" w:lineRule="auto"/>
        <w:rPr>
          <w:rFonts w:ascii="Calibri" w:hAnsi="Calibri"/>
          <w:sz w:val="24"/>
          <w:szCs w:val="24"/>
        </w:rPr>
      </w:pPr>
      <w:r w:rsidRPr="009A6C24">
        <w:rPr>
          <w:rFonts w:ascii="Calibri" w:hAnsi="Calibri"/>
          <w:sz w:val="24"/>
          <w:szCs w:val="24"/>
        </w:rPr>
        <w:t xml:space="preserve">Providing clarity on career paths and practical opportunities to pursue and reach career goals </w:t>
      </w:r>
    </w:p>
    <w:p w14:paraId="0F8DCC2E" w14:textId="77777777" w:rsidR="00057F95" w:rsidRDefault="00A10B30" w:rsidP="00057F95">
      <w:pPr>
        <w:pStyle w:val="BodyText"/>
        <w:numPr>
          <w:ilvl w:val="0"/>
          <w:numId w:val="101"/>
        </w:numPr>
        <w:spacing w:before="0" w:line="312" w:lineRule="auto"/>
        <w:rPr>
          <w:rFonts w:ascii="Calibri" w:hAnsi="Calibri"/>
          <w:sz w:val="24"/>
          <w:szCs w:val="24"/>
        </w:rPr>
      </w:pPr>
      <w:r w:rsidRPr="009A6C24">
        <w:rPr>
          <w:rFonts w:ascii="Calibri" w:hAnsi="Calibri"/>
          <w:sz w:val="24"/>
          <w:szCs w:val="24"/>
        </w:rPr>
        <w:t xml:space="preserve">Decreasing staff turnover through increased engagement, leading to reduction in need for casual staff and enabling more consistency of staff for people with disabilities </w:t>
      </w:r>
    </w:p>
    <w:p w14:paraId="2871A063" w14:textId="77777777" w:rsidR="00057F95" w:rsidRDefault="00A10B30" w:rsidP="00057F95">
      <w:pPr>
        <w:pStyle w:val="BodyText"/>
        <w:numPr>
          <w:ilvl w:val="0"/>
          <w:numId w:val="101"/>
        </w:numPr>
        <w:spacing w:before="0" w:line="312" w:lineRule="auto"/>
        <w:rPr>
          <w:rFonts w:ascii="Calibri" w:hAnsi="Calibri"/>
          <w:sz w:val="24"/>
          <w:szCs w:val="24"/>
        </w:rPr>
      </w:pPr>
      <w:r w:rsidRPr="009A6C24">
        <w:rPr>
          <w:rFonts w:ascii="Calibri" w:hAnsi="Calibri"/>
          <w:sz w:val="24"/>
          <w:szCs w:val="24"/>
        </w:rPr>
        <w:t xml:space="preserve">Enhancing the creativity and focus of support to enable more person-centred care to assist people with disabilities in achieving their goals </w:t>
      </w:r>
    </w:p>
    <w:p w14:paraId="26029183" w14:textId="77777777" w:rsidR="00057F95" w:rsidRDefault="00A10B30" w:rsidP="00057F95">
      <w:pPr>
        <w:pStyle w:val="BodyText"/>
        <w:numPr>
          <w:ilvl w:val="0"/>
          <w:numId w:val="101"/>
        </w:numPr>
        <w:spacing w:before="0" w:line="312" w:lineRule="auto"/>
        <w:rPr>
          <w:rFonts w:ascii="Calibri" w:hAnsi="Calibri"/>
          <w:sz w:val="24"/>
          <w:szCs w:val="24"/>
        </w:rPr>
      </w:pPr>
      <w:r w:rsidRPr="009A6C24">
        <w:rPr>
          <w:rFonts w:ascii="Calibri" w:hAnsi="Calibri"/>
          <w:sz w:val="24"/>
          <w:szCs w:val="24"/>
        </w:rPr>
        <w:t xml:space="preserve">Building more confidence with families and carers in service quality and reliability </w:t>
      </w:r>
    </w:p>
    <w:p w14:paraId="2FD6E19E" w14:textId="110FCB9A" w:rsidR="00450496" w:rsidRDefault="00A10B30" w:rsidP="00057F95">
      <w:pPr>
        <w:pStyle w:val="BodyText"/>
        <w:numPr>
          <w:ilvl w:val="0"/>
          <w:numId w:val="101"/>
        </w:numPr>
        <w:spacing w:before="0" w:line="312" w:lineRule="auto"/>
        <w:rPr>
          <w:rFonts w:ascii="Calibri" w:hAnsi="Calibri"/>
          <w:sz w:val="24"/>
          <w:szCs w:val="24"/>
        </w:rPr>
      </w:pPr>
      <w:r w:rsidRPr="009A6C24">
        <w:rPr>
          <w:rFonts w:ascii="Calibri" w:hAnsi="Calibri"/>
          <w:sz w:val="24"/>
          <w:szCs w:val="24"/>
        </w:rPr>
        <w:t>Improving business’ efficiency and service quality with staff more equipped to deliver quality care. For Crosslinks, 113 Disability Support Workers have gained formal qualifications with 90% of employees now having a formal qualification (compared to the industry standard of 11%). Service demand, recruitment and retention has grown, and casual employment and agency staff dependence has reduced.</w:t>
      </w:r>
    </w:p>
    <w:p w14:paraId="24F3CF95" w14:textId="55E292A4" w:rsidR="005D1F1F" w:rsidRPr="000A5665" w:rsidRDefault="00FE467E" w:rsidP="005D1F1F">
      <w:pPr>
        <w:pStyle w:val="Heading1"/>
        <w:spacing w:line="240" w:lineRule="auto"/>
        <w:rPr>
          <w:rFonts w:ascii="Calibri" w:hAnsi="Calibri"/>
          <w:color w:val="8331A7"/>
        </w:rPr>
      </w:pPr>
      <w:bookmarkStart w:id="25" w:name="_Toc199322320"/>
      <w:r w:rsidRPr="00FE467E">
        <w:rPr>
          <w:rFonts w:ascii="Calibri" w:hAnsi="Calibri"/>
          <w:color w:val="8331A7"/>
        </w:rPr>
        <w:lastRenderedPageBreak/>
        <w:t>Building pathways and retaining experience</w:t>
      </w:r>
      <w:bookmarkEnd w:id="25"/>
    </w:p>
    <w:p w14:paraId="386F51AF" w14:textId="77777777" w:rsidR="005D1F1F" w:rsidRPr="000A5665" w:rsidRDefault="005D1F1F" w:rsidP="005D1F1F">
      <w:pPr>
        <w:pStyle w:val="Heading2"/>
        <w:numPr>
          <w:ilvl w:val="0"/>
          <w:numId w:val="0"/>
        </w:numPr>
        <w:spacing w:line="240" w:lineRule="auto"/>
        <w:rPr>
          <w:rFonts w:ascii="Calibri" w:hAnsi="Calibri"/>
          <w:color w:val="8331A7"/>
        </w:rPr>
      </w:pPr>
      <w:bookmarkStart w:id="26" w:name="_Toc199322321"/>
      <w:r w:rsidRPr="00F53ABC">
        <w:rPr>
          <w:rFonts w:ascii="Calibri" w:hAnsi="Calibri"/>
          <w:color w:val="8331A7"/>
        </w:rPr>
        <w:t>Why it is important</w:t>
      </w:r>
      <w:bookmarkEnd w:id="26"/>
    </w:p>
    <w:p w14:paraId="60B5E1B6" w14:textId="77777777" w:rsidR="00CF09E3" w:rsidRDefault="00167D08" w:rsidP="00167D08">
      <w:pPr>
        <w:pStyle w:val="BodyText"/>
        <w:spacing w:before="0" w:line="312" w:lineRule="auto"/>
        <w:rPr>
          <w:rFonts w:ascii="Calibri" w:hAnsi="Calibri"/>
          <w:sz w:val="24"/>
          <w:szCs w:val="24"/>
        </w:rPr>
      </w:pPr>
      <w:r w:rsidRPr="00167D08">
        <w:rPr>
          <w:rFonts w:ascii="Calibri" w:hAnsi="Calibri"/>
          <w:sz w:val="24"/>
          <w:szCs w:val="24"/>
        </w:rPr>
        <w:t xml:space="preserve">Career pathways within the care and support sector are essential to supporting retention. They provide individuals with a clear roadmap for personal and professional growth, helping retention of knowledge and expertise in the sector. For employers, career pathways help attract, develop, and retain talent, ensuring a motivated and skilled workforce. Awareness and accessibility of pathways can be challenging because of the diversity of approaches between employers and contexts. </w:t>
      </w:r>
    </w:p>
    <w:p w14:paraId="659BCC27" w14:textId="6A65DC00" w:rsidR="005D1F1F" w:rsidRDefault="00167D08" w:rsidP="00167D08">
      <w:pPr>
        <w:pStyle w:val="BodyText"/>
        <w:spacing w:before="0" w:line="312" w:lineRule="auto"/>
        <w:rPr>
          <w:rFonts w:ascii="Calibri" w:hAnsi="Calibri"/>
          <w:sz w:val="24"/>
          <w:szCs w:val="24"/>
        </w:rPr>
      </w:pPr>
      <w:r w:rsidRPr="00167D08">
        <w:rPr>
          <w:rFonts w:ascii="Calibri" w:hAnsi="Calibri"/>
          <w:sz w:val="24"/>
          <w:szCs w:val="24"/>
        </w:rPr>
        <w:t>Retaining staff is key to becoming a high performing organisation as it reduces recruitment and training costs, enhances productivity, and preserves institutional knowledge. Long-term employees bring experience, stability, and deep understanding of contemporary practice, which improves the quality of care, treatment and support. Ultimately, a stable workforce supports innovation, growth, and consistency, contributing to long-term success.</w:t>
      </w:r>
    </w:p>
    <w:p w14:paraId="480E82D2" w14:textId="0E4D9D39" w:rsidR="006C26A8" w:rsidRPr="000A5665" w:rsidRDefault="002777F6" w:rsidP="006C26A8">
      <w:pPr>
        <w:pStyle w:val="Heading2"/>
        <w:numPr>
          <w:ilvl w:val="0"/>
          <w:numId w:val="0"/>
        </w:numPr>
        <w:spacing w:line="240" w:lineRule="auto"/>
        <w:rPr>
          <w:rFonts w:ascii="Calibri" w:hAnsi="Calibri"/>
          <w:color w:val="8331A7"/>
        </w:rPr>
      </w:pPr>
      <w:bookmarkStart w:id="27" w:name="_Toc199322322"/>
      <w:r w:rsidRPr="002777F6">
        <w:rPr>
          <w:rFonts w:ascii="Calibri" w:hAnsi="Calibri"/>
          <w:color w:val="8331A7"/>
        </w:rPr>
        <w:t>What are the common barriers</w:t>
      </w:r>
      <w:bookmarkEnd w:id="27"/>
    </w:p>
    <w:p w14:paraId="6FBD9258" w14:textId="08E8A63A" w:rsidR="006C26A8" w:rsidRPr="001C19A0" w:rsidRDefault="00174323" w:rsidP="006C26A8">
      <w:pPr>
        <w:pStyle w:val="BodyText"/>
        <w:spacing w:before="0" w:after="0" w:line="312" w:lineRule="auto"/>
        <w:rPr>
          <w:rFonts w:ascii="Calibri" w:hAnsi="Calibri"/>
          <w:color w:val="7030A0"/>
          <w:sz w:val="28"/>
          <w:szCs w:val="28"/>
        </w:rPr>
      </w:pPr>
      <w:r>
        <w:rPr>
          <w:rFonts w:ascii="Calibri" w:hAnsi="Calibri"/>
          <w:color w:val="7030A0"/>
          <w:sz w:val="28"/>
          <w:szCs w:val="28"/>
        </w:rPr>
        <w:t>Entry pathways</w:t>
      </w:r>
    </w:p>
    <w:p w14:paraId="46871A73" w14:textId="6341127F" w:rsidR="006C26A8" w:rsidRDefault="00E93DCA" w:rsidP="00E93DCA">
      <w:pPr>
        <w:pStyle w:val="BodyText"/>
        <w:spacing w:before="0" w:line="312" w:lineRule="auto"/>
        <w:rPr>
          <w:rFonts w:ascii="Calibri" w:hAnsi="Calibri"/>
          <w:sz w:val="24"/>
          <w:szCs w:val="24"/>
        </w:rPr>
      </w:pPr>
      <w:r w:rsidRPr="00E93DCA">
        <w:rPr>
          <w:rFonts w:ascii="Calibri" w:hAnsi="Calibri"/>
          <w:sz w:val="24"/>
          <w:szCs w:val="24"/>
        </w:rPr>
        <w:t>There is low awareness of the range of entry pathways, diversity of job roles on offer and available career opportunities for workers in the care and support sector. In part, this is because the aged care, disability support and veterans’ care sectors have been packaged and promoted as a uniform sector, which does not reflect the reality of the industry and discourages individuals from considering careers in care.</w:t>
      </w:r>
    </w:p>
    <w:p w14:paraId="06C061E0" w14:textId="33E1E69D" w:rsidR="00810D11" w:rsidRPr="001C19A0" w:rsidRDefault="000D3F05" w:rsidP="00810D11">
      <w:pPr>
        <w:pStyle w:val="BodyText"/>
        <w:spacing w:before="0" w:after="0" w:line="312" w:lineRule="auto"/>
        <w:rPr>
          <w:rFonts w:ascii="Calibri" w:hAnsi="Calibri"/>
          <w:color w:val="7030A0"/>
          <w:sz w:val="28"/>
          <w:szCs w:val="28"/>
        </w:rPr>
      </w:pPr>
      <w:r w:rsidRPr="000D3F05">
        <w:rPr>
          <w:rFonts w:ascii="Calibri" w:hAnsi="Calibri"/>
          <w:color w:val="7030A0"/>
          <w:sz w:val="28"/>
          <w:szCs w:val="28"/>
        </w:rPr>
        <w:t>Progression points</w:t>
      </w:r>
    </w:p>
    <w:p w14:paraId="28AD3033" w14:textId="0B2DA1C6" w:rsidR="00B3052B" w:rsidRDefault="00CB7EFF" w:rsidP="00CB7EFF">
      <w:pPr>
        <w:pStyle w:val="BodyText"/>
        <w:spacing w:before="0" w:line="312" w:lineRule="auto"/>
        <w:rPr>
          <w:rFonts w:ascii="Calibri" w:hAnsi="Calibri"/>
          <w:sz w:val="24"/>
          <w:szCs w:val="24"/>
        </w:rPr>
      </w:pPr>
      <w:r w:rsidRPr="00CB7EFF">
        <w:rPr>
          <w:rFonts w:ascii="Calibri" w:hAnsi="Calibri"/>
          <w:sz w:val="24"/>
          <w:szCs w:val="24"/>
        </w:rPr>
        <w:t>Opportunities for advancement in role, level, and responsibility are key to career satisfaction. However, these progression opportunities and career structures are not visible in many roles in the care sector, such as personal care workers (PCWs), Aboriginal and Torres Strait Islander health workers, lived experience (peer) workers, occupational therapists, and social workers.</w:t>
      </w:r>
    </w:p>
    <w:p w14:paraId="6D34C5EB" w14:textId="14319327" w:rsidR="00F051DC" w:rsidRPr="001C19A0" w:rsidRDefault="005F79CE" w:rsidP="00F051DC">
      <w:pPr>
        <w:pStyle w:val="BodyText"/>
        <w:spacing w:before="0" w:after="0" w:line="312" w:lineRule="auto"/>
        <w:rPr>
          <w:rFonts w:ascii="Calibri" w:hAnsi="Calibri"/>
          <w:color w:val="7030A0"/>
          <w:sz w:val="28"/>
          <w:szCs w:val="28"/>
        </w:rPr>
      </w:pPr>
      <w:r w:rsidRPr="005F79CE">
        <w:rPr>
          <w:rFonts w:ascii="Calibri" w:hAnsi="Calibri"/>
          <w:color w:val="7030A0"/>
          <w:sz w:val="28"/>
          <w:szCs w:val="28"/>
        </w:rPr>
        <w:t>Availability of roles</w:t>
      </w:r>
    </w:p>
    <w:p w14:paraId="09ED9848" w14:textId="50061855" w:rsidR="00F051DC" w:rsidRDefault="004558DD" w:rsidP="004558DD">
      <w:pPr>
        <w:pStyle w:val="BodyText"/>
        <w:spacing w:before="0" w:line="312" w:lineRule="auto"/>
        <w:rPr>
          <w:rFonts w:ascii="Calibri" w:hAnsi="Calibri"/>
          <w:sz w:val="24"/>
          <w:szCs w:val="24"/>
        </w:rPr>
      </w:pPr>
      <w:r w:rsidRPr="004558DD">
        <w:rPr>
          <w:rFonts w:ascii="Calibri" w:hAnsi="Calibri"/>
          <w:sz w:val="24"/>
          <w:szCs w:val="24"/>
        </w:rPr>
        <w:t>Opportunities for role progression are also restricted by the size of service providers, their funding envelope, team structures, and service delivery models. This makes other sectors, such as healthcare, more appealing to workers as they are perceived to offer better prospects for career growth.</w:t>
      </w:r>
    </w:p>
    <w:p w14:paraId="64D4E7DF" w14:textId="77777777" w:rsidR="00B55E0C" w:rsidRDefault="00B55E0C" w:rsidP="00CE1F69">
      <w:pPr>
        <w:pStyle w:val="BodyText"/>
        <w:spacing w:before="0" w:after="0" w:line="312" w:lineRule="auto"/>
        <w:rPr>
          <w:rFonts w:ascii="Calibri" w:hAnsi="Calibri"/>
          <w:color w:val="7030A0"/>
          <w:sz w:val="28"/>
          <w:szCs w:val="28"/>
        </w:rPr>
      </w:pPr>
    </w:p>
    <w:p w14:paraId="108E38E8" w14:textId="77777777" w:rsidR="00B55E0C" w:rsidRDefault="00B55E0C" w:rsidP="00CE1F69">
      <w:pPr>
        <w:pStyle w:val="BodyText"/>
        <w:spacing w:before="0" w:after="0" w:line="312" w:lineRule="auto"/>
        <w:rPr>
          <w:rFonts w:ascii="Calibri" w:hAnsi="Calibri"/>
          <w:color w:val="7030A0"/>
          <w:sz w:val="28"/>
          <w:szCs w:val="28"/>
        </w:rPr>
      </w:pPr>
    </w:p>
    <w:p w14:paraId="4FFFA108" w14:textId="77777777" w:rsidR="00B55E0C" w:rsidRDefault="00B55E0C" w:rsidP="00CE1F69">
      <w:pPr>
        <w:pStyle w:val="BodyText"/>
        <w:spacing w:before="0" w:after="0" w:line="312" w:lineRule="auto"/>
        <w:rPr>
          <w:rFonts w:ascii="Calibri" w:hAnsi="Calibri"/>
          <w:color w:val="7030A0"/>
          <w:sz w:val="28"/>
          <w:szCs w:val="28"/>
        </w:rPr>
      </w:pPr>
    </w:p>
    <w:p w14:paraId="07B485A1" w14:textId="3B29DC92" w:rsidR="00CE1F69" w:rsidRPr="001C19A0" w:rsidRDefault="0026767A" w:rsidP="00CE1F69">
      <w:pPr>
        <w:pStyle w:val="BodyText"/>
        <w:spacing w:before="0" w:after="0" w:line="312" w:lineRule="auto"/>
        <w:rPr>
          <w:rFonts w:ascii="Calibri" w:hAnsi="Calibri"/>
          <w:color w:val="7030A0"/>
          <w:sz w:val="28"/>
          <w:szCs w:val="28"/>
        </w:rPr>
      </w:pPr>
      <w:r w:rsidRPr="0026767A">
        <w:rPr>
          <w:rFonts w:ascii="Calibri" w:hAnsi="Calibri"/>
          <w:color w:val="7030A0"/>
          <w:sz w:val="28"/>
          <w:szCs w:val="28"/>
        </w:rPr>
        <w:lastRenderedPageBreak/>
        <w:t>Workplace culture</w:t>
      </w:r>
    </w:p>
    <w:p w14:paraId="4FA9F1C9" w14:textId="045A27D6" w:rsidR="00187F45" w:rsidRDefault="009A5874" w:rsidP="009A5874">
      <w:pPr>
        <w:pStyle w:val="BodyText"/>
        <w:spacing w:before="0" w:line="312" w:lineRule="auto"/>
        <w:rPr>
          <w:rFonts w:ascii="Calibri" w:hAnsi="Calibri"/>
          <w:sz w:val="24"/>
          <w:szCs w:val="24"/>
        </w:rPr>
      </w:pPr>
      <w:r w:rsidRPr="009A5874">
        <w:rPr>
          <w:rFonts w:ascii="Calibri" w:hAnsi="Calibri"/>
          <w:sz w:val="24"/>
          <w:szCs w:val="24"/>
        </w:rPr>
        <w:t>The organisational pressure in the care sector means that employers often face challenges in providing the supportive workplace culture that is essential for a resilient workforce. High workloads, stress, and fatigue all combine to produce significant burnout and workforce attrition. These issues are heightened in regional and remote areas, where the challenges of limited support resources and infrastructure are more pronounced.</w:t>
      </w:r>
    </w:p>
    <w:p w14:paraId="71524E1F" w14:textId="2F3B5FCC" w:rsidR="00CE2A5B" w:rsidRPr="001C19A0" w:rsidRDefault="00A32D3C" w:rsidP="00CE2A5B">
      <w:pPr>
        <w:pStyle w:val="BodyText"/>
        <w:spacing w:before="0" w:after="0" w:line="312" w:lineRule="auto"/>
        <w:rPr>
          <w:rFonts w:ascii="Calibri" w:hAnsi="Calibri"/>
          <w:color w:val="7030A0"/>
          <w:sz w:val="28"/>
          <w:szCs w:val="28"/>
        </w:rPr>
      </w:pPr>
      <w:r w:rsidRPr="00A32D3C">
        <w:rPr>
          <w:rFonts w:ascii="Calibri" w:hAnsi="Calibri"/>
          <w:color w:val="7030A0"/>
          <w:sz w:val="28"/>
          <w:szCs w:val="28"/>
        </w:rPr>
        <w:t>Workplace injuries</w:t>
      </w:r>
    </w:p>
    <w:p w14:paraId="2D0CB52B" w14:textId="6EE28475" w:rsidR="005864CC" w:rsidRDefault="002C6B68" w:rsidP="009A5874">
      <w:pPr>
        <w:pStyle w:val="BodyText"/>
        <w:spacing w:before="0" w:line="312" w:lineRule="auto"/>
        <w:rPr>
          <w:rFonts w:ascii="Calibri" w:hAnsi="Calibri"/>
          <w:sz w:val="24"/>
          <w:szCs w:val="24"/>
        </w:rPr>
      </w:pPr>
      <w:r w:rsidRPr="002C6B68">
        <w:rPr>
          <w:rFonts w:ascii="Calibri" w:hAnsi="Calibri"/>
          <w:sz w:val="24"/>
          <w:szCs w:val="24"/>
        </w:rPr>
        <w:t>Workplace injuries are another a major reason workers leave the care sector. Community and personal care workers have the highest rates of work-related injuries, including back, neck, and shoulder strains, as well as serious musculoskeletal disorders caused by improper handling or a lack of equipment. Verbal and physical abuse is also common, with over 90% of aged care workers report experiencing aggression from residents, further contributing to dissatisfaction and turnover.</w:t>
      </w:r>
    </w:p>
    <w:p w14:paraId="45FA83B3" w14:textId="41B9DA0E" w:rsidR="00A250FB" w:rsidRPr="000A5665" w:rsidRDefault="00AE70B0" w:rsidP="00A250FB">
      <w:pPr>
        <w:pStyle w:val="Heading2"/>
        <w:numPr>
          <w:ilvl w:val="0"/>
          <w:numId w:val="0"/>
        </w:numPr>
        <w:spacing w:line="240" w:lineRule="auto"/>
        <w:rPr>
          <w:rFonts w:ascii="Calibri" w:hAnsi="Calibri"/>
          <w:color w:val="8331A7"/>
        </w:rPr>
      </w:pPr>
      <w:bookmarkStart w:id="28" w:name="_Toc199322323"/>
      <w:r w:rsidRPr="00AE70B0">
        <w:rPr>
          <w:rFonts w:ascii="Calibri" w:hAnsi="Calibri"/>
          <w:color w:val="8331A7"/>
        </w:rPr>
        <w:t>Effective strategies</w:t>
      </w:r>
      <w:bookmarkEnd w:id="28"/>
    </w:p>
    <w:p w14:paraId="369B3BB3" w14:textId="43A20BCC" w:rsidR="00A250FB" w:rsidRPr="001C19A0" w:rsidRDefault="00B01C0C" w:rsidP="00A250FB">
      <w:pPr>
        <w:pStyle w:val="BodyText"/>
        <w:spacing w:before="0" w:after="0" w:line="312" w:lineRule="auto"/>
        <w:rPr>
          <w:rFonts w:ascii="Calibri" w:hAnsi="Calibri"/>
          <w:color w:val="7030A0"/>
          <w:sz w:val="28"/>
          <w:szCs w:val="28"/>
        </w:rPr>
      </w:pPr>
      <w:r w:rsidRPr="00B01C0C">
        <w:rPr>
          <w:rFonts w:ascii="Calibri" w:hAnsi="Calibri"/>
          <w:color w:val="7030A0"/>
          <w:sz w:val="28"/>
          <w:szCs w:val="28"/>
        </w:rPr>
        <w:t>5A – RTO open days</w:t>
      </w:r>
    </w:p>
    <w:p w14:paraId="6358D9A5" w14:textId="38342D88" w:rsidR="00B85406" w:rsidRDefault="001C0B47" w:rsidP="001C0B47">
      <w:pPr>
        <w:pStyle w:val="BodyText"/>
        <w:spacing w:before="0" w:line="312" w:lineRule="auto"/>
        <w:rPr>
          <w:rFonts w:ascii="Calibri" w:hAnsi="Calibri"/>
          <w:sz w:val="24"/>
          <w:szCs w:val="24"/>
        </w:rPr>
      </w:pPr>
      <w:r w:rsidRPr="001C0B47">
        <w:rPr>
          <w:rFonts w:ascii="Calibri" w:hAnsi="Calibri"/>
          <w:sz w:val="24"/>
          <w:szCs w:val="24"/>
        </w:rPr>
        <w:t>Industry bodies have partnered with RTOs to co-host RTO Open Days, where prospective students and workers can meet with employers to learn more about the industry, training options, RTO's facilities, and supports available. This has helped to increase interest of potential students in the care and support sector by giving both a feel for the learning environment before enrolling in a course, and the realities of working in the sector after completion.</w:t>
      </w:r>
    </w:p>
    <w:p w14:paraId="166C50F1" w14:textId="3F5C6C8B" w:rsidR="009F742A" w:rsidRPr="001C19A0" w:rsidRDefault="00B42AA2" w:rsidP="009F742A">
      <w:pPr>
        <w:pStyle w:val="BodyText"/>
        <w:spacing w:before="0" w:after="0" w:line="312" w:lineRule="auto"/>
        <w:rPr>
          <w:rFonts w:ascii="Calibri" w:hAnsi="Calibri"/>
          <w:color w:val="7030A0"/>
          <w:sz w:val="28"/>
          <w:szCs w:val="28"/>
        </w:rPr>
      </w:pPr>
      <w:r w:rsidRPr="00B42AA2">
        <w:rPr>
          <w:rFonts w:ascii="Calibri" w:hAnsi="Calibri"/>
          <w:color w:val="7030A0"/>
          <w:sz w:val="28"/>
          <w:szCs w:val="28"/>
        </w:rPr>
        <w:t>5B – School visits</w:t>
      </w:r>
    </w:p>
    <w:p w14:paraId="2930CF1D" w14:textId="0F16215F" w:rsidR="009168EA" w:rsidRDefault="00A57B5E" w:rsidP="00A57B5E">
      <w:pPr>
        <w:pStyle w:val="BodyText"/>
        <w:spacing w:before="0" w:line="312" w:lineRule="auto"/>
        <w:rPr>
          <w:rFonts w:ascii="Calibri" w:hAnsi="Calibri"/>
          <w:sz w:val="24"/>
          <w:szCs w:val="24"/>
        </w:rPr>
      </w:pPr>
      <w:r w:rsidRPr="00A57B5E">
        <w:rPr>
          <w:rFonts w:ascii="Calibri" w:hAnsi="Calibri"/>
          <w:sz w:val="24"/>
          <w:szCs w:val="24"/>
        </w:rPr>
        <w:t>Employers have connected with local schools to raise awareness of career pathways with students, talking about career opportunities, industry trends, and the skills required for related roles. These visits help students understand the different career pathways available to them after school, whether through further education, apprenticeships, internships, or direct entry into the workforce.</w:t>
      </w:r>
    </w:p>
    <w:p w14:paraId="25ACD3D6" w14:textId="0E0B3037" w:rsidR="00760454" w:rsidRPr="001C19A0" w:rsidRDefault="00C77F92" w:rsidP="00760454">
      <w:pPr>
        <w:pStyle w:val="BodyText"/>
        <w:spacing w:before="0" w:after="0" w:line="312" w:lineRule="auto"/>
        <w:rPr>
          <w:rFonts w:ascii="Calibri" w:hAnsi="Calibri"/>
          <w:color w:val="7030A0"/>
          <w:sz w:val="28"/>
          <w:szCs w:val="28"/>
        </w:rPr>
      </w:pPr>
      <w:r w:rsidRPr="00C77F92">
        <w:rPr>
          <w:rFonts w:ascii="Calibri" w:hAnsi="Calibri"/>
          <w:color w:val="7030A0"/>
          <w:sz w:val="28"/>
          <w:szCs w:val="28"/>
        </w:rPr>
        <w:t>5C – Structured training and development pathways</w:t>
      </w:r>
    </w:p>
    <w:p w14:paraId="07BC88C6" w14:textId="3E128CCF" w:rsidR="001F5A81" w:rsidRDefault="00B81675" w:rsidP="00760454">
      <w:pPr>
        <w:pStyle w:val="BodyText"/>
        <w:spacing w:before="0" w:line="312" w:lineRule="auto"/>
        <w:rPr>
          <w:rFonts w:ascii="Calibri" w:hAnsi="Calibri"/>
          <w:sz w:val="24"/>
          <w:szCs w:val="24"/>
        </w:rPr>
      </w:pPr>
      <w:r w:rsidRPr="00B81675">
        <w:rPr>
          <w:rFonts w:ascii="Calibri" w:hAnsi="Calibri"/>
          <w:sz w:val="24"/>
          <w:szCs w:val="24"/>
        </w:rPr>
        <w:t>Employers have invested in offering scaffolded development through regular training sessions to enhance both technical and non-technical skills. This can build from entry level content to more advanced and specialised care or support, with potential branding to mentoring, coaching and leadership.</w:t>
      </w:r>
    </w:p>
    <w:p w14:paraId="61100207" w14:textId="43D295C1" w:rsidR="00652E33" w:rsidRPr="001C19A0" w:rsidRDefault="00322CFF" w:rsidP="00652E33">
      <w:pPr>
        <w:pStyle w:val="BodyText"/>
        <w:spacing w:before="0" w:after="0" w:line="312" w:lineRule="auto"/>
        <w:rPr>
          <w:rFonts w:ascii="Calibri" w:hAnsi="Calibri"/>
          <w:color w:val="7030A0"/>
          <w:sz w:val="28"/>
          <w:szCs w:val="28"/>
        </w:rPr>
      </w:pPr>
      <w:r w:rsidRPr="00322CFF">
        <w:rPr>
          <w:rFonts w:ascii="Calibri" w:hAnsi="Calibri"/>
          <w:color w:val="7030A0"/>
          <w:sz w:val="28"/>
          <w:szCs w:val="28"/>
        </w:rPr>
        <w:t>5D – Mentoring</w:t>
      </w:r>
    </w:p>
    <w:p w14:paraId="2B83FBFA" w14:textId="30F567B9" w:rsidR="00652E33" w:rsidRDefault="00284938" w:rsidP="00284938">
      <w:pPr>
        <w:pStyle w:val="BodyText"/>
        <w:tabs>
          <w:tab w:val="left" w:pos="1457"/>
        </w:tabs>
        <w:spacing w:before="0" w:line="312" w:lineRule="auto"/>
        <w:rPr>
          <w:rFonts w:ascii="Calibri" w:hAnsi="Calibri"/>
          <w:sz w:val="24"/>
          <w:szCs w:val="24"/>
        </w:rPr>
      </w:pPr>
      <w:r w:rsidRPr="00284938">
        <w:rPr>
          <w:rFonts w:ascii="Calibri" w:hAnsi="Calibri"/>
          <w:sz w:val="24"/>
          <w:szCs w:val="24"/>
        </w:rPr>
        <w:t>Employers have created designated workplace mentors with a small-time release or a focus on buddy shifts for students on placement and new workforce entrant. Targeted recruitment programs that focus on identifying existing workers with an affinity for mentoring have helped make these initiatives effective, increasing employee satisfaction. Mentors also report higher satisfaction because of career progression.</w:t>
      </w:r>
    </w:p>
    <w:p w14:paraId="52BE59D4" w14:textId="77777777" w:rsidR="00926CA2" w:rsidRDefault="00926CA2" w:rsidP="00284938">
      <w:pPr>
        <w:pStyle w:val="BodyText"/>
        <w:tabs>
          <w:tab w:val="left" w:pos="1457"/>
        </w:tabs>
        <w:spacing w:before="0" w:line="312" w:lineRule="auto"/>
        <w:rPr>
          <w:rFonts w:ascii="Calibri" w:hAnsi="Calibri"/>
          <w:sz w:val="24"/>
          <w:szCs w:val="24"/>
        </w:rPr>
      </w:pPr>
    </w:p>
    <w:p w14:paraId="30FFBC15" w14:textId="4480A322" w:rsidR="00926CA2" w:rsidRPr="000A5665" w:rsidRDefault="002C20D0" w:rsidP="00926CA2">
      <w:pPr>
        <w:pStyle w:val="Heading2"/>
        <w:numPr>
          <w:ilvl w:val="0"/>
          <w:numId w:val="0"/>
        </w:numPr>
        <w:spacing w:line="240" w:lineRule="auto"/>
        <w:rPr>
          <w:rFonts w:ascii="Calibri" w:hAnsi="Calibri"/>
          <w:color w:val="8331A7"/>
        </w:rPr>
      </w:pPr>
      <w:bookmarkStart w:id="29" w:name="_Toc199322324"/>
      <w:r w:rsidRPr="002C20D0">
        <w:rPr>
          <w:rFonts w:ascii="Calibri" w:hAnsi="Calibri"/>
          <w:color w:val="8331A7"/>
        </w:rPr>
        <w:lastRenderedPageBreak/>
        <w:t>Case study – Elder Care</w:t>
      </w:r>
      <w:bookmarkEnd w:id="29"/>
    </w:p>
    <w:p w14:paraId="0255CF56" w14:textId="116B4588" w:rsidR="00926CA2" w:rsidRDefault="00630102" w:rsidP="00630102">
      <w:pPr>
        <w:pStyle w:val="BodyText"/>
        <w:spacing w:before="0" w:line="312" w:lineRule="auto"/>
        <w:rPr>
          <w:rFonts w:ascii="Calibri" w:hAnsi="Calibri"/>
          <w:sz w:val="24"/>
          <w:szCs w:val="24"/>
        </w:rPr>
      </w:pPr>
      <w:r w:rsidRPr="00630102">
        <w:rPr>
          <w:rFonts w:ascii="Calibri" w:hAnsi="Calibri"/>
          <w:sz w:val="24"/>
          <w:szCs w:val="24"/>
        </w:rPr>
        <w:t>This case study demonstrates strategies 5C and 5D, led by the industry.</w:t>
      </w:r>
    </w:p>
    <w:p w14:paraId="41127095" w14:textId="77777777" w:rsidR="000D6F48" w:rsidRDefault="00E41729" w:rsidP="00630102">
      <w:pPr>
        <w:pStyle w:val="BodyText"/>
        <w:spacing w:before="0" w:line="312" w:lineRule="auto"/>
        <w:rPr>
          <w:rFonts w:ascii="Calibri" w:hAnsi="Calibri"/>
          <w:sz w:val="24"/>
          <w:szCs w:val="24"/>
        </w:rPr>
      </w:pPr>
      <w:r w:rsidRPr="00E41729">
        <w:rPr>
          <w:rFonts w:ascii="Calibri" w:hAnsi="Calibri"/>
          <w:sz w:val="24"/>
          <w:szCs w:val="24"/>
        </w:rPr>
        <w:t xml:space="preserve">Eldercare is a large not-for-profit aged care provider delivering care in South Australia since 1959. Service delivery spans 13 residential aged care sites (with approximately 1,000 residents in greater Adelaide and Yorke Peninsula regions), 200 independent living units across 12 retirement villages (many co-located with residential sites), and an allied health day therapy centre (assisting over 300 clients in Hendon). </w:t>
      </w:r>
    </w:p>
    <w:p w14:paraId="75BFAE85" w14:textId="77777777" w:rsidR="000D6F48" w:rsidRDefault="00E41729" w:rsidP="00630102">
      <w:pPr>
        <w:pStyle w:val="BodyText"/>
        <w:spacing w:before="0" w:line="312" w:lineRule="auto"/>
        <w:rPr>
          <w:rFonts w:ascii="Calibri" w:hAnsi="Calibri"/>
          <w:sz w:val="24"/>
          <w:szCs w:val="24"/>
        </w:rPr>
      </w:pPr>
      <w:r w:rsidRPr="00E41729">
        <w:rPr>
          <w:rFonts w:ascii="Calibri" w:hAnsi="Calibri"/>
          <w:sz w:val="24"/>
          <w:szCs w:val="24"/>
        </w:rPr>
        <w:t xml:space="preserve">Service delivery is based on a person-centred approach to care that celebrates diversity and nurtures each person’s unique mind, body and spirit. The Eldercare Model of Care guides staff in their case management, wellbeing assessment and planning, resident engagement, and in putting core values of respect, accountability and connection into action. </w:t>
      </w:r>
    </w:p>
    <w:p w14:paraId="1F923466" w14:textId="77777777" w:rsidR="000D6F48" w:rsidRDefault="00E41729" w:rsidP="00630102">
      <w:pPr>
        <w:pStyle w:val="BodyText"/>
        <w:spacing w:before="0" w:line="312" w:lineRule="auto"/>
        <w:rPr>
          <w:rFonts w:ascii="Calibri" w:hAnsi="Calibri"/>
          <w:sz w:val="24"/>
          <w:szCs w:val="24"/>
        </w:rPr>
      </w:pPr>
      <w:r w:rsidRPr="00E41729">
        <w:rPr>
          <w:rFonts w:ascii="Calibri" w:hAnsi="Calibri"/>
          <w:sz w:val="24"/>
          <w:szCs w:val="24"/>
        </w:rPr>
        <w:t xml:space="preserve">The care team includes over 1,600 staff (clinical, allied health, personal and spiritual care) and over 200 passionate and skilled volunteers. To deliver a high standard of care and contribute to meeting Aged Care Quality and Safety Commission Standards, the Eldercare workforce must hold a range of qualifications and experience relevant to their role. </w:t>
      </w:r>
    </w:p>
    <w:p w14:paraId="2207F166" w14:textId="77777777" w:rsidR="000D6F48" w:rsidRDefault="00E41729" w:rsidP="00630102">
      <w:pPr>
        <w:pStyle w:val="BodyText"/>
        <w:spacing w:before="0" w:line="312" w:lineRule="auto"/>
        <w:rPr>
          <w:rFonts w:ascii="Calibri" w:hAnsi="Calibri"/>
          <w:sz w:val="24"/>
          <w:szCs w:val="24"/>
        </w:rPr>
      </w:pPr>
      <w:r w:rsidRPr="00E41729">
        <w:rPr>
          <w:rFonts w:ascii="Calibri" w:hAnsi="Calibri"/>
          <w:sz w:val="24"/>
          <w:szCs w:val="24"/>
        </w:rPr>
        <w:t xml:space="preserve">Eldercare has a strong culture of learning and development, with focus on internal promotion and career progression to ensure staff feel satisfied at work and are supported to reach professional goals. This includes progression pathways from Personal Care Worker to enrolled and registered nurse, and from clinical leadership, to site manager and executive leadership. </w:t>
      </w:r>
    </w:p>
    <w:p w14:paraId="53A636E2" w14:textId="77777777" w:rsidR="000D6F48" w:rsidRDefault="00E41729" w:rsidP="00630102">
      <w:pPr>
        <w:pStyle w:val="BodyText"/>
        <w:spacing w:before="0" w:line="312" w:lineRule="auto"/>
        <w:rPr>
          <w:rFonts w:ascii="Calibri" w:hAnsi="Calibri"/>
          <w:sz w:val="24"/>
          <w:szCs w:val="24"/>
        </w:rPr>
      </w:pPr>
      <w:r w:rsidRPr="00E41729">
        <w:rPr>
          <w:rFonts w:ascii="Calibri" w:hAnsi="Calibri"/>
          <w:sz w:val="24"/>
          <w:szCs w:val="24"/>
        </w:rPr>
        <w:t xml:space="preserve">Eldercare has invested in implementing a Transition to Practice program that supports entry to sector and retention. This is a 1-year program that provides trainees with focused mentorship on the job before they transition to afternoon or night shift work. The program is executed in small numbers, with only 1 per site at any given time to ensure high quality mentorship. Most trainees have transitioned successfully to permanent RN employment after the program. </w:t>
      </w:r>
    </w:p>
    <w:p w14:paraId="16DA39ED" w14:textId="77777777" w:rsidR="000D6F48" w:rsidRDefault="00E41729" w:rsidP="00630102">
      <w:pPr>
        <w:pStyle w:val="BodyText"/>
        <w:spacing w:before="0" w:line="312" w:lineRule="auto"/>
        <w:rPr>
          <w:rFonts w:ascii="Calibri" w:hAnsi="Calibri"/>
          <w:sz w:val="24"/>
          <w:szCs w:val="24"/>
        </w:rPr>
      </w:pPr>
      <w:r w:rsidRPr="00E41729">
        <w:rPr>
          <w:rFonts w:ascii="Calibri" w:hAnsi="Calibri"/>
          <w:sz w:val="24"/>
          <w:szCs w:val="24"/>
        </w:rPr>
        <w:t xml:space="preserve">Eldercare has also invested in improving the onboarding process through delivering competency-based induction training to better support staff to build skills before going onto the roster. The training aims to deliver clear messaging on purpose and values within the workforce, with leadership demonstrating this culture from the top down. Identifying trainers and funding to roll out this training across all staff is an ongoing process. Onboarding surveys are run at 1, 3 and 6 months to understand the experience of new starters and inform improvements the overall onboarding process. </w:t>
      </w:r>
    </w:p>
    <w:p w14:paraId="387EB21A" w14:textId="77777777" w:rsidR="000D6F48" w:rsidRDefault="00E41729" w:rsidP="00630102">
      <w:pPr>
        <w:pStyle w:val="BodyText"/>
        <w:spacing w:before="0" w:line="312" w:lineRule="auto"/>
        <w:rPr>
          <w:rFonts w:ascii="Calibri" w:hAnsi="Calibri"/>
          <w:sz w:val="24"/>
          <w:szCs w:val="24"/>
        </w:rPr>
      </w:pPr>
      <w:r w:rsidRPr="00E41729">
        <w:rPr>
          <w:rFonts w:ascii="Calibri" w:hAnsi="Calibri"/>
          <w:sz w:val="24"/>
          <w:szCs w:val="24"/>
        </w:rPr>
        <w:t xml:space="preserve">While attributing the impact of individual initiatives is difficult to determine amongst the range of reform and changes in the broader aged care sector, Eldercare run a biennial employee engagement survey to monitor and understand internal workforce satisfaction. In 2024, 83% of employees found Eldercare a great place to work, 94% felt work is meaningful, 84% felt valued at work, 91% were proud of their work, and 89% felt they made a difference. Overall, there is a strong sense among staff that their work matters and has purpose. </w:t>
      </w:r>
    </w:p>
    <w:p w14:paraId="41BD6492" w14:textId="4CECEE4C" w:rsidR="00630102" w:rsidRDefault="00E41729" w:rsidP="00630102">
      <w:pPr>
        <w:pStyle w:val="BodyText"/>
        <w:spacing w:before="0" w:line="312" w:lineRule="auto"/>
        <w:rPr>
          <w:rFonts w:ascii="Calibri" w:hAnsi="Calibri"/>
          <w:sz w:val="24"/>
          <w:szCs w:val="24"/>
        </w:rPr>
      </w:pPr>
      <w:r w:rsidRPr="00E41729">
        <w:rPr>
          <w:rFonts w:ascii="Calibri" w:hAnsi="Calibri"/>
          <w:sz w:val="24"/>
          <w:szCs w:val="24"/>
        </w:rPr>
        <w:lastRenderedPageBreak/>
        <w:t>Eldercare’s forward thinking is to build a positive perception of the aged care sector as a valued and respected career choice and remain committed to investing in supporting the growth of their trainees and graduates.</w:t>
      </w:r>
    </w:p>
    <w:p w14:paraId="7C8B7D02" w14:textId="29CCD005" w:rsidR="008B38AF" w:rsidRPr="000A5665" w:rsidRDefault="00D20FA7" w:rsidP="008B38AF">
      <w:pPr>
        <w:pStyle w:val="Heading2"/>
        <w:numPr>
          <w:ilvl w:val="0"/>
          <w:numId w:val="0"/>
        </w:numPr>
        <w:spacing w:line="240" w:lineRule="auto"/>
        <w:rPr>
          <w:rFonts w:ascii="Calibri" w:hAnsi="Calibri"/>
          <w:color w:val="8331A7"/>
        </w:rPr>
      </w:pPr>
      <w:bookmarkStart w:id="30" w:name="_Toc199322325"/>
      <w:r w:rsidRPr="00D20FA7">
        <w:rPr>
          <w:rFonts w:ascii="Calibri" w:hAnsi="Calibri"/>
          <w:color w:val="8331A7"/>
        </w:rPr>
        <w:t>Case study – Chorus</w:t>
      </w:r>
      <w:bookmarkEnd w:id="30"/>
    </w:p>
    <w:p w14:paraId="149B8893" w14:textId="77777777" w:rsidR="00A41A20" w:rsidRDefault="00A41A20" w:rsidP="008B38AF">
      <w:pPr>
        <w:pStyle w:val="BodyText"/>
        <w:spacing w:before="0" w:line="312" w:lineRule="auto"/>
        <w:rPr>
          <w:rFonts w:ascii="Calibri" w:hAnsi="Calibri"/>
          <w:sz w:val="24"/>
          <w:szCs w:val="24"/>
        </w:rPr>
      </w:pPr>
      <w:r w:rsidRPr="00A41A20">
        <w:rPr>
          <w:rFonts w:ascii="Calibri" w:hAnsi="Calibri"/>
          <w:sz w:val="24"/>
          <w:szCs w:val="24"/>
        </w:rPr>
        <w:t>This case study demonstrates strategies 5C and an innovative approach to role design.</w:t>
      </w:r>
    </w:p>
    <w:p w14:paraId="77FF1B26" w14:textId="77777777" w:rsidR="00695209" w:rsidRDefault="002F2CD4" w:rsidP="002F2CD4">
      <w:pPr>
        <w:pStyle w:val="BodyText"/>
        <w:spacing w:before="0" w:line="312" w:lineRule="auto"/>
        <w:rPr>
          <w:rFonts w:ascii="Calibri" w:hAnsi="Calibri"/>
          <w:sz w:val="24"/>
          <w:szCs w:val="24"/>
        </w:rPr>
      </w:pPr>
      <w:r w:rsidRPr="002F2CD4">
        <w:rPr>
          <w:rFonts w:ascii="Calibri" w:hAnsi="Calibri"/>
          <w:sz w:val="24"/>
          <w:szCs w:val="24"/>
        </w:rPr>
        <w:t xml:space="preserve">Chorus Australia is a not-for-profit organisation that supports local communities in metro and regional Western Australia with over 1,000 employees and volunteers. They aim to help people live the life they choose through providing relationship focused, meaningful and safe care at home and in the community. They have a particular focus on seniors and people living with disability and mental illness. </w:t>
      </w:r>
    </w:p>
    <w:p w14:paraId="67DB79CA" w14:textId="77777777" w:rsidR="00695209" w:rsidRDefault="002F2CD4" w:rsidP="002F2CD4">
      <w:pPr>
        <w:pStyle w:val="BodyText"/>
        <w:spacing w:before="0" w:line="312" w:lineRule="auto"/>
        <w:rPr>
          <w:rFonts w:ascii="Calibri" w:hAnsi="Calibri"/>
          <w:sz w:val="24"/>
          <w:szCs w:val="24"/>
        </w:rPr>
      </w:pPr>
      <w:r w:rsidRPr="002F2CD4">
        <w:rPr>
          <w:rFonts w:ascii="Calibri" w:hAnsi="Calibri"/>
          <w:sz w:val="24"/>
          <w:szCs w:val="24"/>
        </w:rPr>
        <w:t xml:space="preserve">Chorus’ approach is underpinned by a flat structure that is moving away from hierarchical and transactional relationships with reducing employee attrition as one of its objectives. Location is the organising principle of service delivery and management, with each small geographic area providing all service types and receiving funding through multiple streams. This structure has promoted deeper connection with community and encouraged both autonomous and collaborative practice within the local team. </w:t>
      </w:r>
    </w:p>
    <w:p w14:paraId="3C56B0FD" w14:textId="77777777" w:rsidR="00695209" w:rsidRDefault="002F2CD4" w:rsidP="002F2CD4">
      <w:pPr>
        <w:pStyle w:val="BodyText"/>
        <w:spacing w:before="0" w:line="312" w:lineRule="auto"/>
        <w:rPr>
          <w:rFonts w:ascii="Calibri" w:hAnsi="Calibri"/>
          <w:sz w:val="24"/>
          <w:szCs w:val="24"/>
        </w:rPr>
      </w:pPr>
      <w:r w:rsidRPr="002F2CD4">
        <w:rPr>
          <w:rFonts w:ascii="Calibri" w:hAnsi="Calibri"/>
          <w:sz w:val="24"/>
          <w:szCs w:val="24"/>
        </w:rPr>
        <w:t xml:space="preserve">This change was motivated by the fact that working as an individual supporting people in their home and community can lead to a high level of disengagement with fellow staff. Additionally, the historical practice of fully prescribing employee directions in how they provide care was inhibiting employees to act autonomously and collaboratively in identifying problems, determining resolutions and developing for future professional growth. </w:t>
      </w:r>
    </w:p>
    <w:p w14:paraId="36BA70D8" w14:textId="77777777" w:rsidR="00695209" w:rsidRDefault="002F2CD4" w:rsidP="002F2CD4">
      <w:pPr>
        <w:pStyle w:val="BodyText"/>
        <w:spacing w:before="0" w:line="312" w:lineRule="auto"/>
        <w:rPr>
          <w:rFonts w:ascii="Calibri" w:hAnsi="Calibri"/>
          <w:sz w:val="24"/>
          <w:szCs w:val="24"/>
        </w:rPr>
      </w:pPr>
      <w:r w:rsidRPr="002F2CD4">
        <w:rPr>
          <w:rFonts w:ascii="Calibri" w:hAnsi="Calibri"/>
          <w:sz w:val="24"/>
          <w:szCs w:val="24"/>
        </w:rPr>
        <w:t xml:space="preserve">Chorus undertook extensive consultation to understand what was needed and to co-design a new operating model and way of working. Launched in late 2021, the “Fresh Approach to Community Service” model and culture is based around 5 key principles focusing on local needs, relationship networks, building on community strengths, teamwork, and a deep understanding of local care ecosystems. </w:t>
      </w:r>
    </w:p>
    <w:p w14:paraId="3A62EF56" w14:textId="77777777" w:rsidR="00886DC9" w:rsidRDefault="002F2CD4" w:rsidP="002F2CD4">
      <w:pPr>
        <w:pStyle w:val="BodyText"/>
        <w:spacing w:before="0" w:line="312" w:lineRule="auto"/>
        <w:rPr>
          <w:rFonts w:ascii="Calibri" w:hAnsi="Calibri"/>
          <w:sz w:val="24"/>
          <w:szCs w:val="24"/>
        </w:rPr>
      </w:pPr>
      <w:r w:rsidRPr="002F2CD4">
        <w:rPr>
          <w:rFonts w:ascii="Calibri" w:hAnsi="Calibri"/>
          <w:sz w:val="24"/>
          <w:szCs w:val="24"/>
        </w:rPr>
        <w:t xml:space="preserve">Following introduction of this new approach, Chorus undertook radical decentralisation – moving from centralised to local team led service planning and coordination; from siloed to holistic care; from hierarchical management to self-organising stewardship and accountability; from centralized and individual decision making to collaborative practice, guided by an evidence and community informed playbook; and from having a central administrative team to having all employees involved in customer engagement. </w:t>
      </w:r>
    </w:p>
    <w:p w14:paraId="78506A88" w14:textId="77777777" w:rsidR="00886DC9" w:rsidRDefault="002F2CD4" w:rsidP="002F2CD4">
      <w:pPr>
        <w:pStyle w:val="BodyText"/>
        <w:spacing w:before="0" w:line="312" w:lineRule="auto"/>
        <w:rPr>
          <w:rFonts w:ascii="Calibri" w:hAnsi="Calibri"/>
          <w:sz w:val="24"/>
          <w:szCs w:val="24"/>
        </w:rPr>
      </w:pPr>
      <w:r w:rsidRPr="002F2CD4">
        <w:rPr>
          <w:rFonts w:ascii="Calibri" w:hAnsi="Calibri"/>
          <w:sz w:val="24"/>
          <w:szCs w:val="24"/>
        </w:rPr>
        <w:t xml:space="preserve">A customer-centric model was also adopted, enabled by the multi-skilled team approach, where care recipients now connect with a small team of local workers who provide tailored and shared care. </w:t>
      </w:r>
    </w:p>
    <w:p w14:paraId="3989EEF3" w14:textId="77777777" w:rsidR="00886DC9" w:rsidRDefault="00886DC9" w:rsidP="002F2CD4">
      <w:pPr>
        <w:pStyle w:val="BodyText"/>
        <w:spacing w:before="0" w:line="312" w:lineRule="auto"/>
        <w:rPr>
          <w:rFonts w:ascii="Calibri" w:hAnsi="Calibri"/>
          <w:sz w:val="24"/>
          <w:szCs w:val="24"/>
        </w:rPr>
      </w:pPr>
    </w:p>
    <w:p w14:paraId="542FAA7B" w14:textId="77777777" w:rsidR="00886DC9" w:rsidRDefault="002F2CD4" w:rsidP="002F2CD4">
      <w:pPr>
        <w:pStyle w:val="BodyText"/>
        <w:spacing w:before="0" w:line="312" w:lineRule="auto"/>
        <w:rPr>
          <w:rFonts w:ascii="Calibri" w:hAnsi="Calibri"/>
          <w:sz w:val="24"/>
          <w:szCs w:val="24"/>
        </w:rPr>
      </w:pPr>
      <w:r w:rsidRPr="002F2CD4">
        <w:rPr>
          <w:rFonts w:ascii="Calibri" w:hAnsi="Calibri"/>
          <w:sz w:val="24"/>
          <w:szCs w:val="24"/>
        </w:rPr>
        <w:lastRenderedPageBreak/>
        <w:t xml:space="preserve">Chorus also developed and implemented a renumeration concept (the Contribution Diamond) where skills and capability, and leadership qualities are central in determining compensation. This recognises and reflects each person’s unique values and has improved the organisational culture. </w:t>
      </w:r>
    </w:p>
    <w:p w14:paraId="5D0025E0" w14:textId="77777777" w:rsidR="00886DC9" w:rsidRDefault="002F2CD4" w:rsidP="002F2CD4">
      <w:pPr>
        <w:pStyle w:val="BodyText"/>
        <w:spacing w:before="0" w:line="312" w:lineRule="auto"/>
        <w:rPr>
          <w:rFonts w:ascii="Calibri" w:hAnsi="Calibri"/>
          <w:sz w:val="24"/>
          <w:szCs w:val="24"/>
        </w:rPr>
      </w:pPr>
      <w:r w:rsidRPr="002F2CD4">
        <w:rPr>
          <w:rFonts w:ascii="Calibri" w:hAnsi="Calibri"/>
          <w:sz w:val="24"/>
          <w:szCs w:val="24"/>
        </w:rPr>
        <w:t xml:space="preserve">The approach overall has improved the experience and outcomes for all employees, volunteers, customers, and communities, as well as Chorus as a business. The new small multidisciplinary teams – each with a local lead fostering regular collaboration -- have reduced the siloing of work, increased employee engagement, and empowered local teams to better tailor care to their community’s need. </w:t>
      </w:r>
    </w:p>
    <w:p w14:paraId="4EA3CA0F" w14:textId="7BA0A5A8" w:rsidR="008B38AF" w:rsidRDefault="002F2CD4" w:rsidP="002F2CD4">
      <w:pPr>
        <w:pStyle w:val="BodyText"/>
        <w:spacing w:before="0" w:line="312" w:lineRule="auto"/>
        <w:rPr>
          <w:rFonts w:ascii="Calibri" w:hAnsi="Calibri"/>
          <w:sz w:val="24"/>
          <w:szCs w:val="24"/>
        </w:rPr>
      </w:pPr>
      <w:r w:rsidRPr="002F2CD4">
        <w:rPr>
          <w:rFonts w:ascii="Calibri" w:hAnsi="Calibri"/>
          <w:sz w:val="24"/>
          <w:szCs w:val="24"/>
        </w:rPr>
        <w:t>This shift also stimulated employee career aspirations and supported staff in progressing and growing within the organisation. Wellbeing measures at Chorus show high levels of self-determination and purpose, an above average level of overall wellbeing, and reduction in intent to leave. Productivity of local teams has improved 15% over 2 years, moving Chorus from an operating loss to surplus. Staff turnover has also reduced well below industry average, being under 20% for the last 6 months.</w:t>
      </w:r>
    </w:p>
    <w:p w14:paraId="41FC36C6" w14:textId="62FA444A" w:rsidR="00F0558A" w:rsidRPr="000A5665" w:rsidRDefault="00324C12" w:rsidP="00F0558A">
      <w:pPr>
        <w:pStyle w:val="Heading1"/>
        <w:spacing w:line="240" w:lineRule="auto"/>
        <w:rPr>
          <w:rFonts w:ascii="Calibri" w:hAnsi="Calibri"/>
          <w:color w:val="8331A7"/>
        </w:rPr>
      </w:pPr>
      <w:bookmarkStart w:id="31" w:name="_Toc199322326"/>
      <w:r>
        <w:rPr>
          <w:rFonts w:ascii="Calibri" w:hAnsi="Calibri"/>
          <w:color w:val="8331A7"/>
        </w:rPr>
        <w:lastRenderedPageBreak/>
        <w:t>Su</w:t>
      </w:r>
      <w:r w:rsidRPr="00324C12">
        <w:rPr>
          <w:rFonts w:ascii="Calibri" w:hAnsi="Calibri"/>
          <w:color w:val="8331A7"/>
        </w:rPr>
        <w:t>p</w:t>
      </w:r>
      <w:r>
        <w:rPr>
          <w:rFonts w:ascii="Calibri" w:hAnsi="Calibri"/>
          <w:color w:val="8331A7"/>
        </w:rPr>
        <w:t>p</w:t>
      </w:r>
      <w:r w:rsidRPr="00324C12">
        <w:rPr>
          <w:rFonts w:ascii="Calibri" w:hAnsi="Calibri"/>
          <w:color w:val="8331A7"/>
        </w:rPr>
        <w:t>orting diversity</w:t>
      </w:r>
      <w:bookmarkEnd w:id="31"/>
    </w:p>
    <w:p w14:paraId="03CE1889" w14:textId="77777777" w:rsidR="00F0558A" w:rsidRPr="000A5665" w:rsidRDefault="00F0558A" w:rsidP="00F0558A">
      <w:pPr>
        <w:pStyle w:val="Heading2"/>
        <w:numPr>
          <w:ilvl w:val="0"/>
          <w:numId w:val="0"/>
        </w:numPr>
        <w:spacing w:line="240" w:lineRule="auto"/>
        <w:rPr>
          <w:rFonts w:ascii="Calibri" w:hAnsi="Calibri"/>
          <w:color w:val="8331A7"/>
        </w:rPr>
      </w:pPr>
      <w:bookmarkStart w:id="32" w:name="_Toc199322327"/>
      <w:r w:rsidRPr="00F53ABC">
        <w:rPr>
          <w:rFonts w:ascii="Calibri" w:hAnsi="Calibri"/>
          <w:color w:val="8331A7"/>
        </w:rPr>
        <w:t>Why it is important</w:t>
      </w:r>
      <w:bookmarkEnd w:id="32"/>
    </w:p>
    <w:p w14:paraId="6FA5AD74" w14:textId="58351F64" w:rsidR="00F0558A" w:rsidRDefault="001A123C" w:rsidP="001A123C">
      <w:pPr>
        <w:pStyle w:val="BodyText"/>
        <w:spacing w:before="0" w:line="312" w:lineRule="auto"/>
        <w:rPr>
          <w:rFonts w:ascii="Calibri" w:hAnsi="Calibri"/>
          <w:sz w:val="24"/>
          <w:szCs w:val="24"/>
        </w:rPr>
      </w:pPr>
      <w:r w:rsidRPr="001A123C">
        <w:rPr>
          <w:rFonts w:ascii="Calibri" w:hAnsi="Calibri"/>
          <w:sz w:val="24"/>
          <w:szCs w:val="24"/>
        </w:rPr>
        <w:t>Workplace diversity is crucial for an inclusive, representative and safe environment for individuals. A diverse workforce brings the range of perspectives, cultural competencies, and experiences, which are essential for understanding and addressing the unique needs of an increasingly diverse population. By fostering an inclusive environment, employers can enhance communication, improve care delivery, and reduce biases, ultimately leading to better outcomes.</w:t>
      </w:r>
    </w:p>
    <w:p w14:paraId="3E1F8ACB" w14:textId="781EAF9D" w:rsidR="00E4714B" w:rsidRPr="000A5665" w:rsidRDefault="00BA7B59" w:rsidP="00E4714B">
      <w:pPr>
        <w:pStyle w:val="Heading2"/>
        <w:numPr>
          <w:ilvl w:val="0"/>
          <w:numId w:val="0"/>
        </w:numPr>
        <w:spacing w:line="240" w:lineRule="auto"/>
        <w:rPr>
          <w:rFonts w:ascii="Calibri" w:hAnsi="Calibri"/>
          <w:color w:val="8331A7"/>
        </w:rPr>
      </w:pPr>
      <w:bookmarkStart w:id="33" w:name="_Toc199322328"/>
      <w:r w:rsidRPr="00BA7B59">
        <w:rPr>
          <w:rFonts w:ascii="Calibri" w:hAnsi="Calibri"/>
          <w:color w:val="8331A7"/>
        </w:rPr>
        <w:t>What are the common barriers</w:t>
      </w:r>
      <w:bookmarkEnd w:id="33"/>
    </w:p>
    <w:p w14:paraId="0E53353A" w14:textId="00CB5474" w:rsidR="000279DC" w:rsidRPr="001C19A0" w:rsidRDefault="00E36AF3" w:rsidP="000279DC">
      <w:pPr>
        <w:pStyle w:val="BodyText"/>
        <w:spacing w:before="0" w:after="0" w:line="312" w:lineRule="auto"/>
        <w:rPr>
          <w:rFonts w:ascii="Calibri" w:hAnsi="Calibri"/>
          <w:color w:val="7030A0"/>
          <w:sz w:val="28"/>
          <w:szCs w:val="28"/>
        </w:rPr>
      </w:pPr>
      <w:r w:rsidRPr="00E36AF3">
        <w:rPr>
          <w:rFonts w:ascii="Calibri" w:hAnsi="Calibri"/>
          <w:color w:val="7030A0"/>
          <w:sz w:val="28"/>
          <w:szCs w:val="28"/>
        </w:rPr>
        <w:t>Role models and representation</w:t>
      </w:r>
    </w:p>
    <w:p w14:paraId="466AD25A" w14:textId="7FF161BB" w:rsidR="00E4714B" w:rsidRDefault="00AF281A" w:rsidP="00AF281A">
      <w:pPr>
        <w:pStyle w:val="BodyText"/>
        <w:spacing w:before="0" w:line="312" w:lineRule="auto"/>
        <w:rPr>
          <w:rFonts w:ascii="Calibri" w:hAnsi="Calibri"/>
          <w:sz w:val="24"/>
          <w:szCs w:val="24"/>
        </w:rPr>
      </w:pPr>
      <w:r w:rsidRPr="00AF281A">
        <w:rPr>
          <w:rFonts w:ascii="Calibri" w:hAnsi="Calibri"/>
          <w:sz w:val="24"/>
          <w:szCs w:val="24"/>
        </w:rPr>
        <w:t>The Australian care workforce is broadening culturally in some areas. For example, the Federal Government's 2020 Aged Care Workforce Census Report showed 35% of direct care workers in residential aged care identified as culturally and/or linguistically diverse, which is up 26% from 2016. However, in other areas the lack of diversity is discouraging the entry of critical cohorts. Due in part to historical perceptions of the sector, the workforce has low male and Aboriginal and Torres Strait Islander People representation and lacks workers with lived experience.</w:t>
      </w:r>
    </w:p>
    <w:p w14:paraId="2B8D04A9" w14:textId="33161D6F" w:rsidR="0055575F" w:rsidRPr="001C19A0" w:rsidRDefault="000604D5" w:rsidP="0055575F">
      <w:pPr>
        <w:pStyle w:val="BodyText"/>
        <w:spacing w:before="0" w:after="0" w:line="312" w:lineRule="auto"/>
        <w:rPr>
          <w:rFonts w:ascii="Calibri" w:hAnsi="Calibri"/>
          <w:color w:val="7030A0"/>
          <w:sz w:val="28"/>
          <w:szCs w:val="28"/>
        </w:rPr>
      </w:pPr>
      <w:r w:rsidRPr="000604D5">
        <w:rPr>
          <w:rFonts w:ascii="Calibri" w:hAnsi="Calibri"/>
          <w:color w:val="7030A0"/>
          <w:sz w:val="28"/>
          <w:szCs w:val="28"/>
        </w:rPr>
        <w:t>Availability of training</w:t>
      </w:r>
    </w:p>
    <w:p w14:paraId="54B0C4E9" w14:textId="1AF9868D" w:rsidR="0055575F" w:rsidRDefault="00E94213" w:rsidP="00E94213">
      <w:pPr>
        <w:pStyle w:val="BodyText"/>
        <w:spacing w:before="0" w:line="312" w:lineRule="auto"/>
        <w:rPr>
          <w:rFonts w:ascii="Calibri" w:hAnsi="Calibri"/>
          <w:sz w:val="24"/>
          <w:szCs w:val="24"/>
        </w:rPr>
      </w:pPr>
      <w:r w:rsidRPr="00E94213">
        <w:rPr>
          <w:rFonts w:ascii="Calibri" w:hAnsi="Calibri"/>
          <w:sz w:val="24"/>
          <w:szCs w:val="24"/>
        </w:rPr>
        <w:t>Limited access to education and training available in rural and remote areas makes it hard to attract students from these regions. Many individuals in these areas move to metropolitan locations to pursue their studies, resulting in a workforce that is lost to and not representative of the local community.</w:t>
      </w:r>
    </w:p>
    <w:p w14:paraId="5AACD2A3" w14:textId="405B19DD" w:rsidR="00C4123A" w:rsidRPr="001C19A0" w:rsidRDefault="00690A24" w:rsidP="00C4123A">
      <w:pPr>
        <w:pStyle w:val="BodyText"/>
        <w:spacing w:before="0" w:after="0" w:line="312" w:lineRule="auto"/>
        <w:rPr>
          <w:rFonts w:ascii="Calibri" w:hAnsi="Calibri"/>
          <w:color w:val="7030A0"/>
          <w:sz w:val="28"/>
          <w:szCs w:val="28"/>
        </w:rPr>
      </w:pPr>
      <w:r w:rsidRPr="00690A24">
        <w:rPr>
          <w:rFonts w:ascii="Calibri" w:hAnsi="Calibri"/>
          <w:color w:val="7030A0"/>
          <w:sz w:val="28"/>
          <w:szCs w:val="28"/>
        </w:rPr>
        <w:t>Gendered perceptions</w:t>
      </w:r>
    </w:p>
    <w:p w14:paraId="40AA1EAD" w14:textId="524DF64F" w:rsidR="00C4123A" w:rsidRDefault="004A4BC3" w:rsidP="00E94213">
      <w:pPr>
        <w:pStyle w:val="BodyText"/>
        <w:spacing w:before="0" w:line="312" w:lineRule="auto"/>
        <w:rPr>
          <w:rFonts w:ascii="Calibri" w:hAnsi="Calibri"/>
          <w:sz w:val="24"/>
          <w:szCs w:val="24"/>
        </w:rPr>
      </w:pPr>
      <w:r w:rsidRPr="004A4BC3">
        <w:rPr>
          <w:rFonts w:ascii="Calibri" w:hAnsi="Calibri"/>
          <w:sz w:val="24"/>
          <w:szCs w:val="24"/>
        </w:rPr>
        <w:t xml:space="preserve">The care and support sector </w:t>
      </w:r>
      <w:proofErr w:type="gramStart"/>
      <w:r w:rsidRPr="004A4BC3">
        <w:rPr>
          <w:rFonts w:ascii="Calibri" w:hAnsi="Calibri"/>
          <w:sz w:val="24"/>
          <w:szCs w:val="24"/>
        </w:rPr>
        <w:t>is</w:t>
      </w:r>
      <w:proofErr w:type="gramEnd"/>
      <w:r w:rsidRPr="004A4BC3">
        <w:rPr>
          <w:rFonts w:ascii="Calibri" w:hAnsi="Calibri"/>
          <w:sz w:val="24"/>
          <w:szCs w:val="24"/>
        </w:rPr>
        <w:t xml:space="preserve"> often perceived as ‘women’s work’, the result of the currently highly gendered nature of the workforce. This gender bias has reduced the interest of men in engaging in care and support roles, particularly when there are options of higher paid or more secure roles in traditionally masculine industries.</w:t>
      </w:r>
    </w:p>
    <w:p w14:paraId="4FEB7D9F" w14:textId="223CD127" w:rsidR="00293A5C" w:rsidRPr="001C19A0" w:rsidRDefault="004D4E93" w:rsidP="00293A5C">
      <w:pPr>
        <w:pStyle w:val="BodyText"/>
        <w:spacing w:before="0" w:after="0" w:line="312" w:lineRule="auto"/>
        <w:rPr>
          <w:rFonts w:ascii="Calibri" w:hAnsi="Calibri"/>
          <w:color w:val="7030A0"/>
          <w:sz w:val="28"/>
          <w:szCs w:val="28"/>
        </w:rPr>
      </w:pPr>
      <w:r w:rsidRPr="004D4E93">
        <w:rPr>
          <w:rFonts w:ascii="Calibri" w:hAnsi="Calibri"/>
          <w:color w:val="7030A0"/>
          <w:sz w:val="28"/>
          <w:szCs w:val="28"/>
        </w:rPr>
        <w:t>First Nations</w:t>
      </w:r>
    </w:p>
    <w:p w14:paraId="448ED6CB" w14:textId="34059F79" w:rsidR="00B01D8E" w:rsidRDefault="00E904C6" w:rsidP="00E94213">
      <w:pPr>
        <w:pStyle w:val="BodyText"/>
        <w:spacing w:before="0" w:line="312" w:lineRule="auto"/>
        <w:rPr>
          <w:rFonts w:ascii="Calibri" w:hAnsi="Calibri"/>
          <w:sz w:val="24"/>
          <w:szCs w:val="24"/>
        </w:rPr>
      </w:pPr>
      <w:r w:rsidRPr="00E904C6">
        <w:rPr>
          <w:rFonts w:ascii="Calibri" w:hAnsi="Calibri"/>
          <w:sz w:val="24"/>
          <w:szCs w:val="24"/>
        </w:rPr>
        <w:t>The underrepresentation of First Nations people in the care and support sector is a complex issue. Contributing factors range from ongoing impacts of colonisation and trauma, discrimination and racism, limited awareness of pathways, few culturally safe workplaces, geographical barriers and financial barriers to engaging in education and training.</w:t>
      </w:r>
    </w:p>
    <w:p w14:paraId="75506870" w14:textId="77777777" w:rsidR="00C248E4" w:rsidRDefault="00C248E4" w:rsidP="00E94213">
      <w:pPr>
        <w:pStyle w:val="BodyText"/>
        <w:spacing w:before="0" w:line="312" w:lineRule="auto"/>
        <w:rPr>
          <w:rFonts w:ascii="Calibri" w:hAnsi="Calibri"/>
          <w:sz w:val="24"/>
          <w:szCs w:val="24"/>
        </w:rPr>
      </w:pPr>
    </w:p>
    <w:p w14:paraId="23608982" w14:textId="40BDF0AB" w:rsidR="00C248E4" w:rsidRPr="000A5665" w:rsidRDefault="00B30CDA" w:rsidP="00C248E4">
      <w:pPr>
        <w:pStyle w:val="Heading2"/>
        <w:numPr>
          <w:ilvl w:val="0"/>
          <w:numId w:val="0"/>
        </w:numPr>
        <w:spacing w:line="240" w:lineRule="auto"/>
        <w:rPr>
          <w:rFonts w:ascii="Calibri" w:hAnsi="Calibri"/>
          <w:color w:val="8331A7"/>
        </w:rPr>
      </w:pPr>
      <w:bookmarkStart w:id="34" w:name="_Toc199322329"/>
      <w:r w:rsidRPr="00B30CDA">
        <w:rPr>
          <w:rFonts w:ascii="Calibri" w:hAnsi="Calibri"/>
          <w:color w:val="8331A7"/>
        </w:rPr>
        <w:lastRenderedPageBreak/>
        <w:t>Effective strategies</w:t>
      </w:r>
      <w:bookmarkEnd w:id="34"/>
    </w:p>
    <w:p w14:paraId="498805E9" w14:textId="030B845F" w:rsidR="00C248E4" w:rsidRPr="001C19A0" w:rsidRDefault="009364FF" w:rsidP="00C248E4">
      <w:pPr>
        <w:pStyle w:val="BodyText"/>
        <w:spacing w:before="0" w:after="0" w:line="312" w:lineRule="auto"/>
        <w:rPr>
          <w:rFonts w:ascii="Calibri" w:hAnsi="Calibri"/>
          <w:color w:val="7030A0"/>
          <w:sz w:val="28"/>
          <w:szCs w:val="28"/>
        </w:rPr>
      </w:pPr>
      <w:r w:rsidRPr="009364FF">
        <w:rPr>
          <w:rFonts w:ascii="Calibri" w:hAnsi="Calibri"/>
          <w:color w:val="7030A0"/>
          <w:sz w:val="28"/>
          <w:szCs w:val="28"/>
        </w:rPr>
        <w:t>6A – Localised training partnerships</w:t>
      </w:r>
    </w:p>
    <w:p w14:paraId="12D2284B" w14:textId="57606AAB" w:rsidR="00C248E4" w:rsidRDefault="002831B4" w:rsidP="00C248E4">
      <w:pPr>
        <w:pStyle w:val="BodyText"/>
        <w:spacing w:before="0" w:line="312" w:lineRule="auto"/>
        <w:rPr>
          <w:rFonts w:ascii="Calibri" w:hAnsi="Calibri"/>
          <w:sz w:val="24"/>
          <w:szCs w:val="24"/>
        </w:rPr>
      </w:pPr>
      <w:r w:rsidRPr="002831B4">
        <w:rPr>
          <w:rFonts w:ascii="Calibri" w:hAnsi="Calibri"/>
          <w:sz w:val="24"/>
          <w:szCs w:val="24"/>
        </w:rPr>
        <w:t>Some employers have provided localised education, training, and placement opportunities for students to develop, grow and sustain the regional, rural and remote care workforce. This aligns with community preferences to undertake training on country, and in their own community.</w:t>
      </w:r>
    </w:p>
    <w:p w14:paraId="29B181EE" w14:textId="790A9ED2" w:rsidR="000421E8" w:rsidRPr="001C19A0" w:rsidRDefault="00B328EF" w:rsidP="000421E8">
      <w:pPr>
        <w:pStyle w:val="BodyText"/>
        <w:spacing w:before="0" w:after="0" w:line="312" w:lineRule="auto"/>
        <w:rPr>
          <w:rFonts w:ascii="Calibri" w:hAnsi="Calibri"/>
          <w:color w:val="7030A0"/>
          <w:sz w:val="28"/>
          <w:szCs w:val="28"/>
        </w:rPr>
      </w:pPr>
      <w:r w:rsidRPr="00B328EF">
        <w:rPr>
          <w:rFonts w:ascii="Calibri" w:hAnsi="Calibri"/>
          <w:color w:val="7030A0"/>
          <w:sz w:val="28"/>
          <w:szCs w:val="28"/>
        </w:rPr>
        <w:t>6B – Culturally appropriate recruitment</w:t>
      </w:r>
    </w:p>
    <w:p w14:paraId="4D3FF547" w14:textId="12B20A71" w:rsidR="000421E8" w:rsidRDefault="00747EF1" w:rsidP="00747EF1">
      <w:pPr>
        <w:pStyle w:val="BodyText"/>
        <w:spacing w:before="0" w:line="312" w:lineRule="auto"/>
        <w:rPr>
          <w:rFonts w:ascii="Calibri" w:hAnsi="Calibri"/>
          <w:sz w:val="24"/>
          <w:szCs w:val="24"/>
        </w:rPr>
      </w:pPr>
      <w:r w:rsidRPr="00747EF1">
        <w:rPr>
          <w:rFonts w:ascii="Calibri" w:hAnsi="Calibri"/>
          <w:sz w:val="24"/>
          <w:szCs w:val="24"/>
        </w:rPr>
        <w:t>Tailored programs that target First Nations communities and offer support in the form of training, scholarships, wrap around supports and culturally safe work environments have been used by training providers and employers to increase representation of First Nations workers.</w:t>
      </w:r>
    </w:p>
    <w:p w14:paraId="2168E557" w14:textId="633BE14D" w:rsidR="00B55223" w:rsidRPr="001C19A0" w:rsidRDefault="008C05D1" w:rsidP="00B55223">
      <w:pPr>
        <w:pStyle w:val="BodyText"/>
        <w:spacing w:before="0" w:after="0" w:line="312" w:lineRule="auto"/>
        <w:rPr>
          <w:rFonts w:ascii="Calibri" w:hAnsi="Calibri"/>
          <w:color w:val="7030A0"/>
          <w:sz w:val="28"/>
          <w:szCs w:val="28"/>
        </w:rPr>
      </w:pPr>
      <w:r w:rsidRPr="008C05D1">
        <w:rPr>
          <w:rFonts w:ascii="Calibri" w:hAnsi="Calibri"/>
          <w:color w:val="7030A0"/>
          <w:sz w:val="28"/>
          <w:szCs w:val="28"/>
        </w:rPr>
        <w:t>6C – Cultural grounding</w:t>
      </w:r>
    </w:p>
    <w:p w14:paraId="12C99453" w14:textId="6D734F38" w:rsidR="00B55223" w:rsidRDefault="00465AE9" w:rsidP="00465AE9">
      <w:pPr>
        <w:pStyle w:val="BodyText"/>
        <w:spacing w:before="0" w:line="312" w:lineRule="auto"/>
        <w:rPr>
          <w:rFonts w:ascii="Calibri" w:hAnsi="Calibri"/>
          <w:sz w:val="24"/>
          <w:szCs w:val="24"/>
        </w:rPr>
      </w:pPr>
      <w:r w:rsidRPr="00465AE9">
        <w:rPr>
          <w:rFonts w:ascii="Calibri" w:hAnsi="Calibri"/>
          <w:sz w:val="24"/>
          <w:szCs w:val="24"/>
        </w:rPr>
        <w:t>Some employers have supported Aboriginal and Torres Strait Islander students through developing culturally responsive curriculum and teaching approaches, undertaking community outreach to improve awareness of job opportunities, establishing peer networking groups to improve the cultural load, and developing structured pathways to support workers to progress in their careers.</w:t>
      </w:r>
    </w:p>
    <w:p w14:paraId="249A3633" w14:textId="0FC030D2" w:rsidR="00465AE9" w:rsidRPr="001C19A0" w:rsidRDefault="00734520" w:rsidP="00465AE9">
      <w:pPr>
        <w:pStyle w:val="BodyText"/>
        <w:spacing w:before="0" w:after="0" w:line="312" w:lineRule="auto"/>
        <w:rPr>
          <w:rFonts w:ascii="Calibri" w:hAnsi="Calibri"/>
          <w:color w:val="7030A0"/>
          <w:sz w:val="28"/>
          <w:szCs w:val="28"/>
        </w:rPr>
      </w:pPr>
      <w:r w:rsidRPr="00734520">
        <w:rPr>
          <w:rFonts w:ascii="Calibri" w:hAnsi="Calibri"/>
          <w:color w:val="7030A0"/>
          <w:sz w:val="28"/>
          <w:szCs w:val="28"/>
        </w:rPr>
        <w:t>6D – Role re-design</w:t>
      </w:r>
    </w:p>
    <w:p w14:paraId="1FA94814" w14:textId="14544E6F" w:rsidR="00465AE9" w:rsidRDefault="007C3AA9" w:rsidP="007C3AA9">
      <w:pPr>
        <w:pStyle w:val="BodyText"/>
        <w:spacing w:before="0" w:line="312" w:lineRule="auto"/>
        <w:rPr>
          <w:rFonts w:ascii="Calibri" w:hAnsi="Calibri"/>
          <w:sz w:val="24"/>
          <w:szCs w:val="24"/>
        </w:rPr>
      </w:pPr>
      <w:r w:rsidRPr="007C3AA9">
        <w:rPr>
          <w:rFonts w:ascii="Calibri" w:hAnsi="Calibri"/>
          <w:sz w:val="24"/>
          <w:szCs w:val="24"/>
        </w:rPr>
        <w:t>Some employers have re-designed job roles to encourage workers with lived experience by adopting flexible, inclusive practices that focus on the individual's abilities rather than limitations. These have involved offering flexible work hours, developing small teams to provide care and support, and using assistive technologies to support employees in performing their tasks. Job descriptions have been adjusted to focus on core competencies and essential functions, allowing for adjustments in the way certain tasks are performed. Training for other staff on inclusivity, and fostering a supportive work culture, has also helped create an environment where inclusion is prioritised.</w:t>
      </w:r>
    </w:p>
    <w:p w14:paraId="7C0AF058" w14:textId="4E06CE10" w:rsidR="00201429" w:rsidRPr="000A5665" w:rsidRDefault="00201429" w:rsidP="00201429">
      <w:pPr>
        <w:pStyle w:val="Heading2"/>
        <w:numPr>
          <w:ilvl w:val="0"/>
          <w:numId w:val="0"/>
        </w:numPr>
        <w:spacing w:line="240" w:lineRule="auto"/>
        <w:rPr>
          <w:rFonts w:ascii="Calibri" w:hAnsi="Calibri"/>
          <w:color w:val="8331A7"/>
        </w:rPr>
      </w:pPr>
      <w:bookmarkStart w:id="35" w:name="_Toc199322330"/>
      <w:r w:rsidRPr="00D20FA7">
        <w:rPr>
          <w:rFonts w:ascii="Calibri" w:hAnsi="Calibri"/>
          <w:color w:val="8331A7"/>
        </w:rPr>
        <w:t xml:space="preserve">Case study </w:t>
      </w:r>
      <w:r w:rsidR="002B5472" w:rsidRPr="002B5472">
        <w:rPr>
          <w:rFonts w:ascii="Calibri" w:hAnsi="Calibri"/>
          <w:color w:val="8331A7"/>
        </w:rPr>
        <w:t xml:space="preserve">– </w:t>
      </w:r>
      <w:proofErr w:type="spellStart"/>
      <w:r w:rsidR="002B5472" w:rsidRPr="002B5472">
        <w:rPr>
          <w:rFonts w:ascii="Calibri" w:hAnsi="Calibri"/>
          <w:color w:val="8331A7"/>
        </w:rPr>
        <w:t>SkiP</w:t>
      </w:r>
      <w:bookmarkEnd w:id="35"/>
      <w:proofErr w:type="spellEnd"/>
    </w:p>
    <w:p w14:paraId="220D135A" w14:textId="77777777" w:rsidR="00A23D5F" w:rsidRDefault="00A23D5F" w:rsidP="00201429">
      <w:pPr>
        <w:pStyle w:val="BodyText"/>
        <w:spacing w:before="0" w:line="312" w:lineRule="auto"/>
        <w:rPr>
          <w:rFonts w:ascii="Calibri" w:hAnsi="Calibri"/>
          <w:sz w:val="24"/>
          <w:szCs w:val="24"/>
        </w:rPr>
      </w:pPr>
      <w:r w:rsidRPr="00A23D5F">
        <w:rPr>
          <w:rFonts w:ascii="Calibri" w:hAnsi="Calibri"/>
          <w:sz w:val="24"/>
          <w:szCs w:val="24"/>
        </w:rPr>
        <w:t>This case study demonstrates 6A and 6B, led through employers, staff and training providers.</w:t>
      </w:r>
    </w:p>
    <w:p w14:paraId="1C43039C" w14:textId="77777777" w:rsidR="00C1196E" w:rsidRDefault="00C1196E" w:rsidP="00C1196E">
      <w:pPr>
        <w:pStyle w:val="BodyText"/>
        <w:spacing w:before="0" w:line="312" w:lineRule="auto"/>
        <w:rPr>
          <w:rFonts w:ascii="Calibri" w:hAnsi="Calibri"/>
          <w:sz w:val="24"/>
          <w:szCs w:val="24"/>
        </w:rPr>
      </w:pPr>
      <w:proofErr w:type="spellStart"/>
      <w:r w:rsidRPr="00C1196E">
        <w:rPr>
          <w:rFonts w:ascii="Calibri" w:hAnsi="Calibri"/>
          <w:sz w:val="24"/>
          <w:szCs w:val="24"/>
        </w:rPr>
        <w:t>SkiP</w:t>
      </w:r>
      <w:proofErr w:type="spellEnd"/>
      <w:r w:rsidRPr="00C1196E">
        <w:rPr>
          <w:rFonts w:ascii="Calibri" w:hAnsi="Calibri"/>
          <w:sz w:val="24"/>
          <w:szCs w:val="24"/>
        </w:rPr>
        <w:t xml:space="preserve"> is a program in Victoria coordinated by RMIT’s Workforce Innovation and Development Institute and brings together employers, employees and RMIT as the training and assessment provider. Workers need to be on at least a 12-month fixed term contract and meet “priority industry group requirements” – such as workers with disability and workers from cultural, linguistic and religious communities. </w:t>
      </w:r>
    </w:p>
    <w:p w14:paraId="385C0997" w14:textId="77777777" w:rsidR="00C1196E" w:rsidRDefault="00C1196E" w:rsidP="00C1196E">
      <w:pPr>
        <w:pStyle w:val="BodyText"/>
        <w:spacing w:before="0" w:line="312" w:lineRule="auto"/>
        <w:rPr>
          <w:rFonts w:ascii="Calibri" w:hAnsi="Calibri"/>
          <w:sz w:val="24"/>
          <w:szCs w:val="24"/>
        </w:rPr>
      </w:pPr>
      <w:proofErr w:type="spellStart"/>
      <w:r w:rsidRPr="00C1196E">
        <w:rPr>
          <w:rFonts w:ascii="Calibri" w:hAnsi="Calibri"/>
          <w:sz w:val="24"/>
          <w:szCs w:val="24"/>
        </w:rPr>
        <w:t>SkiP</w:t>
      </w:r>
      <w:proofErr w:type="spellEnd"/>
      <w:r w:rsidRPr="00C1196E">
        <w:rPr>
          <w:rFonts w:ascii="Calibri" w:hAnsi="Calibri"/>
          <w:sz w:val="24"/>
          <w:szCs w:val="24"/>
        </w:rPr>
        <w:t xml:space="preserve"> operates as a triangulated model between TAFE, employers and workplace mentors, and its approach works backwards from employment vacancies, matching a worker to an employer and providing the training necessary to support them into skilled work. The development of human resource-oriented assessment centres also filtered out candidates and helped workers ensure they had complete information on this sector and profession. </w:t>
      </w:r>
    </w:p>
    <w:p w14:paraId="59C49858" w14:textId="77777777" w:rsidR="001D581A" w:rsidRDefault="00C1196E" w:rsidP="00C1196E">
      <w:pPr>
        <w:pStyle w:val="BodyText"/>
        <w:spacing w:before="0" w:line="312" w:lineRule="auto"/>
        <w:rPr>
          <w:rFonts w:ascii="Calibri" w:hAnsi="Calibri"/>
          <w:sz w:val="24"/>
          <w:szCs w:val="24"/>
        </w:rPr>
      </w:pPr>
      <w:r w:rsidRPr="00C1196E">
        <w:rPr>
          <w:rFonts w:ascii="Calibri" w:hAnsi="Calibri"/>
          <w:sz w:val="24"/>
          <w:szCs w:val="24"/>
        </w:rPr>
        <w:lastRenderedPageBreak/>
        <w:t xml:space="preserve">Workers accepted into the program receive an integrated two-week pre-service induction program, supported by workplace mentors. Mentors are funded by the program and are independent to workplace supervisors to ensure clarity of roles, expectations and functions. Existing worker entrants are paid at the rate of SCHADS SACS 2.1 to reflect that they are an unqualified worker, not a trainee wage that is well below standard industry pay rates. </w:t>
      </w:r>
    </w:p>
    <w:p w14:paraId="598A485C" w14:textId="77777777" w:rsidR="001D581A" w:rsidRDefault="00C1196E" w:rsidP="00C1196E">
      <w:pPr>
        <w:pStyle w:val="BodyText"/>
        <w:spacing w:before="0" w:line="312" w:lineRule="auto"/>
        <w:rPr>
          <w:rFonts w:ascii="Calibri" w:hAnsi="Calibri"/>
          <w:sz w:val="24"/>
          <w:szCs w:val="24"/>
        </w:rPr>
      </w:pPr>
      <w:r w:rsidRPr="00C1196E">
        <w:rPr>
          <w:rFonts w:ascii="Calibri" w:hAnsi="Calibri"/>
          <w:sz w:val="24"/>
          <w:szCs w:val="24"/>
        </w:rPr>
        <w:t xml:space="preserve">Workers are released for training off-job once a week, and paid to do so by the employer, to gain a full Certificate IV in Disability. Where employers cannot afford to pay for training, they can apply for financial assistance from the </w:t>
      </w:r>
      <w:proofErr w:type="spellStart"/>
      <w:r w:rsidRPr="00C1196E">
        <w:rPr>
          <w:rFonts w:ascii="Calibri" w:hAnsi="Calibri"/>
          <w:sz w:val="24"/>
          <w:szCs w:val="24"/>
        </w:rPr>
        <w:t>SKiP</w:t>
      </w:r>
      <w:proofErr w:type="spellEnd"/>
      <w:r w:rsidRPr="00C1196E">
        <w:rPr>
          <w:rFonts w:ascii="Calibri" w:hAnsi="Calibri"/>
          <w:sz w:val="24"/>
          <w:szCs w:val="24"/>
        </w:rPr>
        <w:t xml:space="preserve"> program. Workers are employed for a minimum of 20 hours a week. </w:t>
      </w:r>
    </w:p>
    <w:p w14:paraId="07261EB1" w14:textId="77777777" w:rsidR="001D581A" w:rsidRDefault="00C1196E" w:rsidP="00C1196E">
      <w:pPr>
        <w:pStyle w:val="BodyText"/>
        <w:spacing w:before="0" w:line="312" w:lineRule="auto"/>
        <w:rPr>
          <w:rFonts w:ascii="Calibri" w:hAnsi="Calibri"/>
          <w:sz w:val="24"/>
          <w:szCs w:val="24"/>
        </w:rPr>
      </w:pPr>
      <w:r w:rsidRPr="00C1196E">
        <w:rPr>
          <w:rFonts w:ascii="Calibri" w:hAnsi="Calibri"/>
          <w:sz w:val="24"/>
          <w:szCs w:val="24"/>
        </w:rPr>
        <w:t xml:space="preserve">The program supports both entry level skill development and can be linked to an ongoing higher apprenticeship program that supports upskilling into advanced positions. The systematic approach to work integrated learning (WIL) across the spectrum of skills required has increased uptake of the program. </w:t>
      </w:r>
    </w:p>
    <w:p w14:paraId="4844AF9A" w14:textId="2906DBAC" w:rsidR="00201429" w:rsidRDefault="00C1196E" w:rsidP="00C1196E">
      <w:pPr>
        <w:pStyle w:val="BodyText"/>
        <w:spacing w:before="0" w:line="312" w:lineRule="auto"/>
        <w:rPr>
          <w:rFonts w:ascii="Calibri" w:hAnsi="Calibri"/>
          <w:sz w:val="24"/>
          <w:szCs w:val="24"/>
        </w:rPr>
      </w:pPr>
      <w:r w:rsidRPr="00C1196E">
        <w:rPr>
          <w:rFonts w:ascii="Calibri" w:hAnsi="Calibri"/>
          <w:sz w:val="24"/>
          <w:szCs w:val="24"/>
        </w:rPr>
        <w:t>While the administrative burden of apprenticeships has prevented some providers from taking up the program, others have found mitigation options, such as the funding provided under the Working for Victoria to cover HR costs with the program.</w:t>
      </w:r>
    </w:p>
    <w:p w14:paraId="5C868B49" w14:textId="41359A2A" w:rsidR="00EF7B31" w:rsidRPr="000A5665" w:rsidRDefault="00EF7B31" w:rsidP="00EF7B31">
      <w:pPr>
        <w:pStyle w:val="Heading2"/>
        <w:numPr>
          <w:ilvl w:val="0"/>
          <w:numId w:val="0"/>
        </w:numPr>
        <w:spacing w:line="240" w:lineRule="auto"/>
        <w:rPr>
          <w:rFonts w:ascii="Calibri" w:hAnsi="Calibri"/>
          <w:color w:val="8331A7"/>
        </w:rPr>
      </w:pPr>
      <w:bookmarkStart w:id="36" w:name="_Toc199322331"/>
      <w:r w:rsidRPr="00D20FA7">
        <w:rPr>
          <w:rFonts w:ascii="Calibri" w:hAnsi="Calibri"/>
          <w:color w:val="8331A7"/>
        </w:rPr>
        <w:t xml:space="preserve">Case study </w:t>
      </w:r>
      <w:r w:rsidRPr="002B5472">
        <w:rPr>
          <w:rFonts w:ascii="Calibri" w:hAnsi="Calibri"/>
          <w:color w:val="8331A7"/>
        </w:rPr>
        <w:t xml:space="preserve">– </w:t>
      </w:r>
      <w:r w:rsidR="00485F11">
        <w:rPr>
          <w:rFonts w:ascii="Calibri" w:hAnsi="Calibri"/>
          <w:color w:val="8331A7"/>
        </w:rPr>
        <w:t>Scope</w:t>
      </w:r>
      <w:bookmarkEnd w:id="36"/>
    </w:p>
    <w:p w14:paraId="512AFF26" w14:textId="77777777" w:rsidR="000F5996" w:rsidRDefault="00673412" w:rsidP="00EF7B31">
      <w:pPr>
        <w:pStyle w:val="BodyText"/>
        <w:spacing w:before="0" w:line="312" w:lineRule="auto"/>
        <w:rPr>
          <w:rFonts w:ascii="Calibri" w:hAnsi="Calibri"/>
          <w:sz w:val="24"/>
          <w:szCs w:val="24"/>
        </w:rPr>
      </w:pPr>
      <w:r w:rsidRPr="00673412">
        <w:rPr>
          <w:rFonts w:ascii="Calibri" w:hAnsi="Calibri"/>
          <w:sz w:val="24"/>
          <w:szCs w:val="24"/>
        </w:rPr>
        <w:t>This case study demonstrates 6D and the supporting organisational structures required for successful delivery.</w:t>
      </w:r>
    </w:p>
    <w:p w14:paraId="651E8B57" w14:textId="77777777" w:rsidR="00766D5E" w:rsidRDefault="005F3D13" w:rsidP="005F3D13">
      <w:pPr>
        <w:pStyle w:val="BodyText"/>
        <w:spacing w:before="0" w:line="312" w:lineRule="auto"/>
        <w:rPr>
          <w:rFonts w:ascii="Calibri" w:hAnsi="Calibri"/>
          <w:sz w:val="24"/>
          <w:szCs w:val="24"/>
        </w:rPr>
      </w:pPr>
      <w:r w:rsidRPr="005F3D13">
        <w:rPr>
          <w:rFonts w:ascii="Calibri" w:hAnsi="Calibri"/>
          <w:sz w:val="24"/>
          <w:szCs w:val="24"/>
        </w:rPr>
        <w:t xml:space="preserve">Scope is a large not-for-profit disability service provider operating across NSW and VIC and spanning over 400 service and office locations. In the 2023-24 financial year, support was provided to more than 5,200 people with complex intellectual, physical and multiple disabilities. The Scope workforce consists of almost 7,000 employees with a large frontline operational service delivery workforce. </w:t>
      </w:r>
    </w:p>
    <w:p w14:paraId="723EBC2B" w14:textId="77777777" w:rsidR="00766D5E" w:rsidRDefault="005F3D13" w:rsidP="005F3D13">
      <w:pPr>
        <w:pStyle w:val="BodyText"/>
        <w:spacing w:before="0" w:line="312" w:lineRule="auto"/>
        <w:rPr>
          <w:rFonts w:ascii="Calibri" w:hAnsi="Calibri"/>
          <w:sz w:val="24"/>
          <w:szCs w:val="24"/>
        </w:rPr>
      </w:pPr>
      <w:r w:rsidRPr="005F3D13">
        <w:rPr>
          <w:rFonts w:ascii="Calibri" w:hAnsi="Calibri"/>
          <w:sz w:val="24"/>
          <w:szCs w:val="24"/>
        </w:rPr>
        <w:t xml:space="preserve">Scope is driven by its Disability Inclusive Workforce Strategy (the Strategy), encompassing nine recommendation and 71 initiatives developed in collaboration with Scope employees. It is currently working to implement five priority initiatives: </w:t>
      </w:r>
    </w:p>
    <w:p w14:paraId="70CE9213" w14:textId="77777777" w:rsidR="00766D5E" w:rsidRDefault="005F3D13" w:rsidP="00766D5E">
      <w:pPr>
        <w:pStyle w:val="BodyText"/>
        <w:numPr>
          <w:ilvl w:val="0"/>
          <w:numId w:val="102"/>
        </w:numPr>
        <w:spacing w:before="0" w:line="312" w:lineRule="auto"/>
        <w:rPr>
          <w:rFonts w:ascii="Calibri" w:hAnsi="Calibri"/>
          <w:sz w:val="24"/>
          <w:szCs w:val="24"/>
        </w:rPr>
      </w:pPr>
      <w:r w:rsidRPr="005F3D13">
        <w:rPr>
          <w:rFonts w:ascii="Calibri" w:hAnsi="Calibri"/>
          <w:sz w:val="24"/>
          <w:szCs w:val="24"/>
        </w:rPr>
        <w:t xml:space="preserve">Representation: forming a representative body for employees with disability </w:t>
      </w:r>
    </w:p>
    <w:p w14:paraId="625ADCD8" w14:textId="77777777" w:rsidR="00766D5E" w:rsidRDefault="005F3D13" w:rsidP="00766D5E">
      <w:pPr>
        <w:pStyle w:val="BodyText"/>
        <w:numPr>
          <w:ilvl w:val="0"/>
          <w:numId w:val="102"/>
        </w:numPr>
        <w:spacing w:before="0" w:line="312" w:lineRule="auto"/>
        <w:rPr>
          <w:rFonts w:ascii="Calibri" w:hAnsi="Calibri"/>
          <w:sz w:val="24"/>
          <w:szCs w:val="24"/>
        </w:rPr>
      </w:pPr>
      <w:r w:rsidRPr="005F3D13">
        <w:rPr>
          <w:rFonts w:ascii="Calibri" w:hAnsi="Calibri"/>
          <w:sz w:val="24"/>
          <w:szCs w:val="24"/>
        </w:rPr>
        <w:t xml:space="preserve">Workplace Adjustments: developing a Workplace Adjustment Policy and Protocol </w:t>
      </w:r>
    </w:p>
    <w:p w14:paraId="561C0969" w14:textId="77777777" w:rsidR="00766D5E" w:rsidRDefault="005F3D13" w:rsidP="00766D5E">
      <w:pPr>
        <w:pStyle w:val="BodyText"/>
        <w:numPr>
          <w:ilvl w:val="0"/>
          <w:numId w:val="102"/>
        </w:numPr>
        <w:spacing w:before="0" w:line="312" w:lineRule="auto"/>
        <w:rPr>
          <w:rFonts w:ascii="Calibri" w:hAnsi="Calibri"/>
          <w:sz w:val="24"/>
          <w:szCs w:val="24"/>
        </w:rPr>
      </w:pPr>
      <w:r w:rsidRPr="005F3D13">
        <w:rPr>
          <w:rFonts w:ascii="Calibri" w:hAnsi="Calibri"/>
          <w:sz w:val="24"/>
          <w:szCs w:val="24"/>
        </w:rPr>
        <w:t xml:space="preserve">Disclosure: Creating a Disclosure Policy and Protocol </w:t>
      </w:r>
    </w:p>
    <w:p w14:paraId="235F2130" w14:textId="77777777" w:rsidR="00766D5E" w:rsidRDefault="005F3D13" w:rsidP="00766D5E">
      <w:pPr>
        <w:pStyle w:val="BodyText"/>
        <w:numPr>
          <w:ilvl w:val="0"/>
          <w:numId w:val="102"/>
        </w:numPr>
        <w:spacing w:before="0" w:line="312" w:lineRule="auto"/>
        <w:rPr>
          <w:rFonts w:ascii="Calibri" w:hAnsi="Calibri"/>
          <w:sz w:val="24"/>
          <w:szCs w:val="24"/>
        </w:rPr>
      </w:pPr>
      <w:r w:rsidRPr="005F3D13">
        <w:rPr>
          <w:rFonts w:ascii="Calibri" w:hAnsi="Calibri"/>
          <w:sz w:val="24"/>
          <w:szCs w:val="24"/>
        </w:rPr>
        <w:t xml:space="preserve">Leadership: Prioritising people with disability for senior roles </w:t>
      </w:r>
    </w:p>
    <w:p w14:paraId="0FBB54D3" w14:textId="77777777" w:rsidR="00766D5E" w:rsidRDefault="005F3D13" w:rsidP="00766D5E">
      <w:pPr>
        <w:pStyle w:val="BodyText"/>
        <w:numPr>
          <w:ilvl w:val="0"/>
          <w:numId w:val="102"/>
        </w:numPr>
        <w:spacing w:before="0" w:line="312" w:lineRule="auto"/>
        <w:rPr>
          <w:rFonts w:ascii="Calibri" w:hAnsi="Calibri"/>
          <w:sz w:val="24"/>
          <w:szCs w:val="24"/>
        </w:rPr>
      </w:pPr>
      <w:r w:rsidRPr="005F3D13">
        <w:rPr>
          <w:rFonts w:ascii="Calibri" w:hAnsi="Calibri"/>
          <w:sz w:val="24"/>
          <w:szCs w:val="24"/>
        </w:rPr>
        <w:t>Prioritised and Partner roles: Creating roles for people with disability in key and strategic positions.</w:t>
      </w:r>
    </w:p>
    <w:p w14:paraId="72C07648" w14:textId="0601D7AA" w:rsidR="00EF7B31" w:rsidRPr="009A6C24" w:rsidRDefault="005F3D13" w:rsidP="00766D5E">
      <w:pPr>
        <w:pStyle w:val="BodyText"/>
        <w:spacing w:before="0" w:line="312" w:lineRule="auto"/>
        <w:rPr>
          <w:rFonts w:ascii="Calibri" w:hAnsi="Calibri"/>
          <w:sz w:val="24"/>
          <w:szCs w:val="24"/>
        </w:rPr>
      </w:pPr>
      <w:r w:rsidRPr="005F3D13">
        <w:rPr>
          <w:rFonts w:ascii="Calibri" w:hAnsi="Calibri"/>
          <w:sz w:val="24"/>
          <w:szCs w:val="24"/>
        </w:rPr>
        <w:t>Specific actions underway include forming a talent acquisition working group, building partnerships with recruitment service providers for people with disability, exploring deliberate and systematic job design including principles for adjustments, and directly communicating accessibility and adjustments as core elements of job design to potential and current employees.</w:t>
      </w:r>
    </w:p>
    <w:sectPr w:rsidR="00EF7B31" w:rsidRPr="009A6C24" w:rsidSect="00B63F70">
      <w:headerReference w:type="even" r:id="rId21"/>
      <w:headerReference w:type="default" r:id="rId22"/>
      <w:footerReference w:type="even" r:id="rId23"/>
      <w:footerReference w:type="default" r:id="rId24"/>
      <w:headerReference w:type="first" r:id="rId25"/>
      <w:pgSz w:w="11906" w:h="16838" w:code="9"/>
      <w:pgMar w:top="1123" w:right="720" w:bottom="1123" w:left="720" w:header="454" w:footer="221" w:gutter="0"/>
      <w:pgNumType w:start="1" w:chapSep="period"/>
      <w:cols w:space="708"/>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596F02" w14:textId="77777777" w:rsidR="00BD7852" w:rsidRDefault="00BD7852" w:rsidP="00B649EB">
      <w:pPr>
        <w:spacing w:before="0" w:after="0" w:line="240" w:lineRule="auto"/>
      </w:pPr>
      <w:r>
        <w:separator/>
      </w:r>
    </w:p>
    <w:p w14:paraId="4E048448" w14:textId="77777777" w:rsidR="00BD7852" w:rsidRDefault="00BD7852"/>
  </w:endnote>
  <w:endnote w:type="continuationSeparator" w:id="0">
    <w:p w14:paraId="069C3317" w14:textId="77777777" w:rsidR="00BD7852" w:rsidRDefault="00BD7852" w:rsidP="00B649EB">
      <w:pPr>
        <w:spacing w:before="0" w:after="0" w:line="240" w:lineRule="auto"/>
      </w:pPr>
      <w:r>
        <w:continuationSeparator/>
      </w:r>
    </w:p>
    <w:p w14:paraId="3160B06E" w14:textId="77777777" w:rsidR="00BD7852" w:rsidRDefault="00BD78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Yu Gothic Medium">
    <w:panose1 w:val="020B05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MinionPro-Regular">
    <w:altName w:val="Calibri"/>
    <w:panose1 w:val="020B0604020202020204"/>
    <w:charset w:val="4D"/>
    <w:family w:val="auto"/>
    <w:pitch w:val="default"/>
    <w:sig w:usb0="00000003" w:usb1="00000000" w:usb2="00000000" w:usb3="00000000" w:csb0="00000001" w:csb1="00000000"/>
  </w:font>
  <w:font w:name="ProximaSoft-Thin">
    <w:altName w:val="Calibri"/>
    <w:panose1 w:val="020B0604020202020204"/>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5F290" w14:textId="407D24E0" w:rsidR="00EE3889" w:rsidRPr="000572B6" w:rsidRDefault="00EE3889" w:rsidP="00EE3889">
    <w:pPr>
      <w:pStyle w:val="Footer"/>
      <w:framePr w:wrap="none" w:vAnchor="text" w:hAnchor="margin" w:xAlign="right" w:y="1"/>
      <w:rPr>
        <w:rStyle w:val="PageNumber"/>
        <w:rFonts w:ascii="Calibri" w:hAnsi="Calibri" w:cs="Calibri"/>
        <w:sz w:val="24"/>
        <w:szCs w:val="24"/>
      </w:rPr>
    </w:pPr>
  </w:p>
  <w:p w14:paraId="260DAF62" w14:textId="77777777" w:rsidR="00EE3889" w:rsidRDefault="00EE38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5963341"/>
      <w:docPartObj>
        <w:docPartGallery w:val="Page Numbers (Bottom of Page)"/>
        <w:docPartUnique/>
      </w:docPartObj>
    </w:sdtPr>
    <w:sdtEndPr>
      <w:rPr>
        <w:rStyle w:val="PageNumber"/>
      </w:rPr>
    </w:sdtEndPr>
    <w:sdtContent>
      <w:p w14:paraId="486C4D56" w14:textId="77777777" w:rsidR="009A4521" w:rsidRDefault="009A4521" w:rsidP="0032392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DDFADFC" w14:textId="77777777" w:rsidR="009A4521" w:rsidRPr="005C54AF" w:rsidRDefault="009A4521" w:rsidP="00036FAA">
    <w:pPr>
      <w:pStyle w:val="Footer"/>
      <w:ind w:right="360"/>
    </w:pPr>
  </w:p>
  <w:p w14:paraId="0922A346" w14:textId="77777777" w:rsidR="009A4521" w:rsidRDefault="009A452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96517549"/>
      <w:docPartObj>
        <w:docPartGallery w:val="Page Numbers (Bottom of Page)"/>
        <w:docPartUnique/>
      </w:docPartObj>
    </w:sdtPr>
    <w:sdtEndPr>
      <w:rPr>
        <w:rStyle w:val="PageNumber"/>
      </w:rPr>
    </w:sdtEndPr>
    <w:sdtContent>
      <w:p w14:paraId="22C4CF9E" w14:textId="77777777" w:rsidR="009A4521" w:rsidRDefault="009A4521" w:rsidP="00660C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35DA46E" w14:textId="77777777" w:rsidR="009A4521" w:rsidRDefault="009A4521" w:rsidP="003514F4">
    <w:pPr>
      <w:tabs>
        <w:tab w:val="left" w:pos="7920"/>
        <w:tab w:val="right" w:pos="10106"/>
      </w:tabs>
      <w:ind w:right="360"/>
    </w:pPr>
  </w:p>
  <w:p w14:paraId="6A7A0D77" w14:textId="77777777" w:rsidR="009A4521" w:rsidRDefault="009A4521" w:rsidP="003514F4">
    <w:pPr>
      <w:tabs>
        <w:tab w:val="left" w:pos="7920"/>
        <w:tab w:val="right" w:pos="10106"/>
      </w:tabs>
      <w:ind w:right="360"/>
    </w:pPr>
  </w:p>
  <w:p w14:paraId="676371A9" w14:textId="77777777" w:rsidR="009A4521" w:rsidRDefault="009A4521" w:rsidP="003514F4">
    <w:pPr>
      <w:tabs>
        <w:tab w:val="left" w:pos="7920"/>
        <w:tab w:val="right" w:pos="10106"/>
      </w:tabs>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61508483"/>
      <w:docPartObj>
        <w:docPartGallery w:val="Page Numbers (Bottom of Page)"/>
        <w:docPartUnique/>
      </w:docPartObj>
    </w:sdtPr>
    <w:sdtEndPr>
      <w:rPr>
        <w:rStyle w:val="PageNumber"/>
      </w:rPr>
    </w:sdtEndPr>
    <w:sdtContent>
      <w:p w14:paraId="5B9C82BB" w14:textId="0221D0CC" w:rsidR="00293795" w:rsidRDefault="00293795" w:rsidP="00660C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3A4BE071" w14:textId="77777777" w:rsidR="00FB537F" w:rsidRPr="005C54AF" w:rsidRDefault="00FB537F" w:rsidP="00293795">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Calibri" w:hAnsi="Calibri" w:cs="Calibri"/>
        <w:sz w:val="24"/>
        <w:szCs w:val="24"/>
      </w:rPr>
      <w:id w:val="1839962093"/>
      <w:docPartObj>
        <w:docPartGallery w:val="Page Numbers (Bottom of Page)"/>
        <w:docPartUnique/>
      </w:docPartObj>
    </w:sdtPr>
    <w:sdtEndPr>
      <w:rPr>
        <w:rStyle w:val="PageNumber"/>
      </w:rPr>
    </w:sdtEndPr>
    <w:sdtContent>
      <w:p w14:paraId="22A3E184" w14:textId="5931E54A" w:rsidR="00293795" w:rsidRPr="00293795" w:rsidRDefault="00293795" w:rsidP="00660C89">
        <w:pPr>
          <w:pStyle w:val="Footer"/>
          <w:framePr w:wrap="none" w:vAnchor="text" w:hAnchor="margin" w:xAlign="right" w:y="1"/>
          <w:rPr>
            <w:rStyle w:val="PageNumber"/>
            <w:rFonts w:ascii="Calibri" w:hAnsi="Calibri" w:cs="Calibri"/>
            <w:sz w:val="24"/>
            <w:szCs w:val="24"/>
          </w:rPr>
        </w:pPr>
        <w:r w:rsidRPr="00293795">
          <w:rPr>
            <w:rStyle w:val="PageNumber"/>
            <w:rFonts w:ascii="Calibri" w:hAnsi="Calibri" w:cs="Calibri"/>
            <w:sz w:val="24"/>
            <w:szCs w:val="24"/>
          </w:rPr>
          <w:fldChar w:fldCharType="begin"/>
        </w:r>
        <w:r w:rsidRPr="00293795">
          <w:rPr>
            <w:rStyle w:val="PageNumber"/>
            <w:rFonts w:ascii="Calibri" w:hAnsi="Calibri" w:cs="Calibri"/>
            <w:sz w:val="24"/>
            <w:szCs w:val="24"/>
          </w:rPr>
          <w:instrText xml:space="preserve"> PAGE </w:instrText>
        </w:r>
        <w:r w:rsidRPr="00293795">
          <w:rPr>
            <w:rStyle w:val="PageNumber"/>
            <w:rFonts w:ascii="Calibri" w:hAnsi="Calibri" w:cs="Calibri"/>
            <w:sz w:val="24"/>
            <w:szCs w:val="24"/>
          </w:rPr>
          <w:fldChar w:fldCharType="separate"/>
        </w:r>
        <w:r w:rsidRPr="00293795">
          <w:rPr>
            <w:rStyle w:val="PageNumber"/>
            <w:rFonts w:ascii="Calibri" w:hAnsi="Calibri" w:cs="Calibri"/>
            <w:noProof/>
            <w:sz w:val="24"/>
            <w:szCs w:val="24"/>
          </w:rPr>
          <w:t>1</w:t>
        </w:r>
        <w:r w:rsidRPr="00293795">
          <w:rPr>
            <w:rStyle w:val="PageNumber"/>
            <w:rFonts w:ascii="Calibri" w:hAnsi="Calibri" w:cs="Calibri"/>
            <w:sz w:val="24"/>
            <w:szCs w:val="24"/>
          </w:rPr>
          <w:fldChar w:fldCharType="end"/>
        </w:r>
      </w:p>
    </w:sdtContent>
  </w:sdt>
  <w:p w14:paraId="31BDBBAD" w14:textId="093B1158" w:rsidR="002257DB" w:rsidRPr="00D01484" w:rsidRDefault="002257DB" w:rsidP="002257DB">
    <w:pPr>
      <w:pStyle w:val="Footer"/>
      <w:ind w:right="360"/>
      <w:rPr>
        <w:rFonts w:ascii="Calibri" w:hAnsi="Calibri" w:cs="Calibri"/>
        <w:sz w:val="24"/>
        <w:szCs w:val="24"/>
      </w:rPr>
    </w:pPr>
    <w:r w:rsidRPr="00B07A09">
      <w:rPr>
        <w:rFonts w:ascii="Calibri" w:hAnsi="Calibri" w:cs="Calibri"/>
        <w:sz w:val="24"/>
        <w:szCs w:val="24"/>
      </w:rPr>
      <w:t xml:space="preserve">Career Pathways – </w:t>
    </w:r>
    <w:r w:rsidR="009E7C5E">
      <w:rPr>
        <w:rFonts w:ascii="Calibri" w:hAnsi="Calibri" w:cs="Calibri"/>
        <w:sz w:val="24"/>
        <w:szCs w:val="24"/>
      </w:rPr>
      <w:t>Good Practice Guide</w:t>
    </w:r>
  </w:p>
  <w:p w14:paraId="59EF9622" w14:textId="77777777" w:rsidR="00293795" w:rsidRDefault="0029379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BD273D" w14:textId="77777777" w:rsidR="00BD7852" w:rsidRDefault="00BD7852" w:rsidP="00786D98">
      <w:pPr>
        <w:spacing w:before="0" w:after="0" w:line="240" w:lineRule="auto"/>
      </w:pPr>
      <w:r>
        <w:separator/>
      </w:r>
    </w:p>
  </w:footnote>
  <w:footnote w:type="continuationSeparator" w:id="0">
    <w:p w14:paraId="38463416" w14:textId="77777777" w:rsidR="00BD7852" w:rsidRDefault="00BD7852" w:rsidP="00B649EB">
      <w:pPr>
        <w:spacing w:before="0" w:after="0" w:line="240" w:lineRule="auto"/>
      </w:pPr>
      <w:r>
        <w:continuationSeparator/>
      </w:r>
    </w:p>
    <w:p w14:paraId="784903D5" w14:textId="77777777" w:rsidR="00BD7852" w:rsidRDefault="00BD7852"/>
  </w:footnote>
  <w:footnote w:id="1">
    <w:p w14:paraId="553A6190" w14:textId="3D146357" w:rsidR="007D3956" w:rsidRDefault="007D3956">
      <w:pPr>
        <w:pStyle w:val="FootnoteText"/>
        <w:rPr>
          <w:rFonts w:ascii="Calibri" w:hAnsi="Calibri" w:cs="Calibri"/>
        </w:rPr>
      </w:pPr>
      <w:r>
        <w:rPr>
          <w:rStyle w:val="FootnoteReference"/>
        </w:rPr>
        <w:footnoteRef/>
      </w:r>
      <w:r>
        <w:t xml:space="preserve"> </w:t>
      </w:r>
      <w:r w:rsidR="00FC4558" w:rsidRPr="00FC4558">
        <w:rPr>
          <w:rFonts w:ascii="Calibri" w:hAnsi="Calibri" w:cs="Calibri"/>
        </w:rPr>
        <w:t xml:space="preserve">Australian Government Department of Prime Minister and Cabinet. 2024. Care and support economy. Accessed at </w:t>
      </w:r>
      <w:hyperlink r:id="rId1" w:history="1">
        <w:r w:rsidR="00FC4558" w:rsidRPr="00FC4558">
          <w:rPr>
            <w:rStyle w:val="Hyperlink"/>
            <w:rFonts w:ascii="Calibri" w:hAnsi="Calibri" w:cs="Calibri"/>
          </w:rPr>
          <w:t>https://www.pmc.gov.au/resources/care-and-support-economy-state-play</w:t>
        </w:r>
      </w:hyperlink>
      <w:r w:rsidR="00FC4558" w:rsidRPr="00FC4558">
        <w:rPr>
          <w:rFonts w:ascii="Calibri" w:hAnsi="Calibri" w:cs="Calibri"/>
        </w:rPr>
        <w:t>.</w:t>
      </w:r>
    </w:p>
    <w:p w14:paraId="357B1C04" w14:textId="77777777" w:rsidR="00E04E8E" w:rsidRDefault="00E04E8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0" w:type="auto"/>
      <w:tblLayout w:type="fixed"/>
      <w:tblLook w:val="04A0" w:firstRow="1" w:lastRow="0" w:firstColumn="1" w:lastColumn="0" w:noHBand="0" w:noVBand="1"/>
    </w:tblPr>
    <w:tblGrid>
      <w:gridCol w:w="5233"/>
      <w:gridCol w:w="5233"/>
    </w:tblGrid>
    <w:tr w:rsidR="00FB537F" w14:paraId="2719A3EB" w14:textId="77777777" w:rsidTr="005C54AF">
      <w:trPr>
        <w:trHeight w:hRule="exact" w:val="356"/>
      </w:trPr>
      <w:tc>
        <w:tcPr>
          <w:tcW w:w="5233" w:type="dxa"/>
          <w:shd w:val="clear" w:color="auto" w:fill="auto"/>
        </w:tcPr>
        <w:p w14:paraId="544B29F7" w14:textId="77777777" w:rsidR="00FB537F" w:rsidRDefault="00FB537F" w:rsidP="005C54AF">
          <w:pPr>
            <w:pStyle w:val="tagcontactsPage-Front"/>
          </w:pPr>
        </w:p>
      </w:tc>
      <w:tc>
        <w:tcPr>
          <w:tcW w:w="5233" w:type="dxa"/>
          <w:shd w:val="clear" w:color="auto" w:fill="auto"/>
        </w:tcPr>
        <w:p w14:paraId="6295C7AA" w14:textId="77777777" w:rsidR="00FB537F" w:rsidRDefault="00FB537F" w:rsidP="005C54AF">
          <w:pPr>
            <w:pStyle w:val="Header-CompanyName"/>
          </w:pPr>
        </w:p>
      </w:tc>
    </w:tr>
  </w:tbl>
  <w:p w14:paraId="3DD1B8F7" w14:textId="7901913B" w:rsidR="00FB537F" w:rsidRPr="005C54AF" w:rsidRDefault="00FB537F" w:rsidP="005C54AF">
    <w:pPr>
      <w:pStyle w:val="Header"/>
    </w:pPr>
    <w:r>
      <w:rPr>
        <w:noProof/>
      </w:rPr>
      <mc:AlternateContent>
        <mc:Choice Requires="wps">
          <w:drawing>
            <wp:anchor distT="0" distB="0" distL="114300" distR="114300" simplePos="0" relativeHeight="251659262" behindDoc="1" locked="1" layoutInCell="1" allowOverlap="1" wp14:anchorId="4651DAD5" wp14:editId="668A22FA">
              <wp:simplePos x="0" y="0"/>
              <wp:positionH relativeFrom="page">
                <wp:posOffset>0</wp:posOffset>
              </wp:positionH>
              <wp:positionV relativeFrom="page">
                <wp:posOffset>0</wp:posOffset>
              </wp:positionV>
              <wp:extent cx="7560310" cy="10692130"/>
              <wp:effectExtent l="0" t="0" r="21590" b="13970"/>
              <wp:wrapNone/>
              <wp:docPr id="781304916" name="aac_BackColou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10692130"/>
                      </a:xfrm>
                      <a:prstGeom prst="rect">
                        <a:avLst/>
                      </a:prstGeom>
                      <a:solidFill>
                        <a:srgbClr val="FFFFFF"/>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0D886D" id="aac_BackColour" o:spid="_x0000_s1026" alt="&quot;&quot;" style="position:absolute;margin-left:0;margin-top:0;width:595.3pt;height:841.9pt;z-index:-25165721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" strokecolor="#16101f [484]" strokeweight="1pt">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149E0" w14:textId="77777777" w:rsidR="009A4521" w:rsidRPr="005C54AF" w:rsidRDefault="009A4521" w:rsidP="005C54AF">
    <w:pPr>
      <w:pStyle w:val="Header"/>
    </w:pPr>
  </w:p>
  <w:p w14:paraId="54ABE08E" w14:textId="77777777" w:rsidR="009A4521" w:rsidRDefault="009A452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94FEA" w14:textId="77777777" w:rsidR="009A4521" w:rsidRDefault="009A4521" w:rsidP="005C54AF">
    <w:pPr>
      <w:pStyle w:val="Header"/>
    </w:pPr>
  </w:p>
  <w:p w14:paraId="313B6A4C" w14:textId="77777777" w:rsidR="009A4521" w:rsidRPr="005C54AF" w:rsidRDefault="009A4521" w:rsidP="005C54AF">
    <w:pPr>
      <w:pStyle w:val="Header"/>
    </w:pPr>
  </w:p>
  <w:p w14:paraId="4F69B87B" w14:textId="77777777" w:rsidR="009A4521" w:rsidRDefault="009A452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95C1D" w14:textId="77777777" w:rsidR="009A4521" w:rsidRPr="005C54AF" w:rsidRDefault="009A4521" w:rsidP="005C54AF">
    <w:pPr>
      <w:pStyle w:val="Header"/>
    </w:pPr>
  </w:p>
  <w:p w14:paraId="5F7F8CFD" w14:textId="77777777" w:rsidR="009A4521" w:rsidRDefault="009A452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AB950" w14:textId="77777777" w:rsidR="00FB537F" w:rsidRPr="005C54AF" w:rsidRDefault="00FB537F" w:rsidP="005C54A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0" w:type="auto"/>
      <w:tblLayout w:type="fixed"/>
      <w:tblLook w:val="04A0" w:firstRow="1" w:lastRow="0" w:firstColumn="1" w:lastColumn="0" w:noHBand="0" w:noVBand="1"/>
    </w:tblPr>
    <w:tblGrid>
      <w:gridCol w:w="5233"/>
      <w:gridCol w:w="5233"/>
    </w:tblGrid>
    <w:tr w:rsidR="00FB537F" w14:paraId="17C92FDC" w14:textId="77777777" w:rsidTr="005C54AF">
      <w:trPr>
        <w:trHeight w:hRule="exact" w:val="356"/>
      </w:trPr>
      <w:tc>
        <w:tcPr>
          <w:tcW w:w="5233" w:type="dxa"/>
          <w:shd w:val="clear" w:color="auto" w:fill="auto"/>
        </w:tcPr>
        <w:p w14:paraId="03DDB3DF" w14:textId="77777777" w:rsidR="00FB537F" w:rsidRDefault="00FB537F" w:rsidP="005C54AF">
          <w:pPr>
            <w:pStyle w:val="tagcontactsPage-Back"/>
          </w:pPr>
        </w:p>
      </w:tc>
      <w:tc>
        <w:tcPr>
          <w:tcW w:w="5233" w:type="dxa"/>
          <w:shd w:val="clear" w:color="auto" w:fill="auto"/>
        </w:tcPr>
        <w:p w14:paraId="6B4A2DBA" w14:textId="77777777" w:rsidR="00FB537F" w:rsidRDefault="00FB537F" w:rsidP="005C54AF">
          <w:pPr>
            <w:pStyle w:val="Header-CompanyName"/>
          </w:pPr>
        </w:p>
      </w:tc>
    </w:tr>
  </w:tbl>
  <w:p w14:paraId="1C3DC4FE" w14:textId="66AEE491" w:rsidR="00FB537F" w:rsidRPr="005C54AF" w:rsidRDefault="00FB537F" w:rsidP="005C54A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17569" w14:textId="4C4E4E3D" w:rsidR="00FB537F" w:rsidRPr="005C54AF" w:rsidRDefault="00FB537F" w:rsidP="005C54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666E3A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DD8699E"/>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AA04D6F2"/>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0E27DF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2843474"/>
    <w:multiLevelType w:val="multilevel"/>
    <w:tmpl w:val="8B9A0E4E"/>
    <w:numStyleLink w:val="aacTableListBullets"/>
  </w:abstractNum>
  <w:abstractNum w:abstractNumId="5" w15:restartNumberingAfterBreak="0">
    <w:nsid w:val="02EA6B42"/>
    <w:multiLevelType w:val="hybridMultilevel"/>
    <w:tmpl w:val="0AB2BCE0"/>
    <w:lvl w:ilvl="0" w:tplc="C9BA655E">
      <w:start w:val="1"/>
      <w:numFmt w:val="bullet"/>
      <w:lvlText w:val=""/>
      <w:lvlJc w:val="left"/>
      <w:pPr>
        <w:ind w:left="720" w:hanging="360"/>
      </w:pPr>
      <w:rPr>
        <w:rFonts w:ascii="Symbol" w:hAnsi="Symbol" w:hint="default"/>
        <w:b w:val="0"/>
        <w:i w:val="0"/>
        <w:color w:val="7F3D97"/>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CE1618"/>
    <w:multiLevelType w:val="multilevel"/>
    <w:tmpl w:val="8B388342"/>
    <w:numStyleLink w:val="aaclstStyleTableQuoteSmall"/>
  </w:abstractNum>
  <w:abstractNum w:abstractNumId="7" w15:restartNumberingAfterBreak="0">
    <w:nsid w:val="05177354"/>
    <w:multiLevelType w:val="multilevel"/>
    <w:tmpl w:val="E6AE650E"/>
    <w:styleLink w:val="aaclstStyleAppendices"/>
    <w:lvl w:ilvl="0">
      <w:start w:val="1"/>
      <w:numFmt w:val="upperLetter"/>
      <w:pStyle w:val="Heading6"/>
      <w:lvlText w:val="%1"/>
      <w:lvlJc w:val="right"/>
      <w:pPr>
        <w:ind w:left="0" w:hanging="360"/>
      </w:pPr>
      <w:rPr>
        <w:rFonts w:ascii="Yu Gothic Medium" w:eastAsia="Yu Gothic Medium" w:hAnsi="Yu Gothic Medium" w:hint="eastAsia"/>
        <w:color w:val="140034"/>
      </w:rPr>
    </w:lvl>
    <w:lvl w:ilvl="1">
      <w:start w:val="1"/>
      <w:numFmt w:val="decimal"/>
      <w:pStyle w:val="Heading7"/>
      <w:lvlText w:val="%1.%2"/>
      <w:lvlJc w:val="right"/>
      <w:pPr>
        <w:ind w:left="0" w:hanging="360"/>
      </w:pPr>
      <w:rPr>
        <w:rFonts w:ascii="Arial Narrow" w:hAnsi="Arial Narrow" w:hint="default"/>
      </w:rPr>
    </w:lvl>
    <w:lvl w:ilvl="2">
      <w:start w:val="1"/>
      <w:numFmt w:val="none"/>
      <w:pStyle w:val="Heading8"/>
      <w:suff w:val="nothing"/>
      <w:lvlText w:val=""/>
      <w:lvlJc w:val="left"/>
      <w:pPr>
        <w:ind w:left="0" w:firstLine="0"/>
      </w:pPr>
      <w:rPr>
        <w:rFonts w:ascii="Yu Gothic Medium" w:eastAsia="Yu Gothic Medium" w:hAnsi="Yu Gothic Medium" w:hint="eastAsia"/>
        <w:sz w:val="28"/>
      </w:rPr>
    </w:lvl>
    <w:lvl w:ilvl="3">
      <w:start w:val="1"/>
      <w:numFmt w:val="none"/>
      <w:pStyle w:val="Heading9"/>
      <w:lvlText w:val=""/>
      <w:lvlJc w:val="left"/>
      <w:pPr>
        <w:ind w:left="0" w:firstLine="0"/>
      </w:pPr>
      <w:rPr>
        <w:rFonts w:hint="default"/>
      </w:rPr>
    </w:lvl>
    <w:lvl w:ilvl="4">
      <w:start w:val="1"/>
      <w:numFmt w:val="none"/>
      <w:pStyle w:val="Heading5AP"/>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058501DA"/>
    <w:multiLevelType w:val="hybridMultilevel"/>
    <w:tmpl w:val="52702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5F411E4"/>
    <w:multiLevelType w:val="hybridMultilevel"/>
    <w:tmpl w:val="F41C7A9E"/>
    <w:lvl w:ilvl="0" w:tplc="D8DE5BA6">
      <w:numFmt w:val="bullet"/>
      <w:lvlText w:val=""/>
      <w:lvlJc w:val="left"/>
      <w:pPr>
        <w:ind w:left="72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6116EDD"/>
    <w:multiLevelType w:val="hybridMultilevel"/>
    <w:tmpl w:val="EAEAD900"/>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6D55B15"/>
    <w:multiLevelType w:val="multilevel"/>
    <w:tmpl w:val="5A967E5C"/>
    <w:styleLink w:val="aaHeadingnonumberList"/>
    <w:lvl w:ilvl="0">
      <w:start w:val="1"/>
      <w:numFmt w:val="none"/>
      <w:pStyle w:val="Heading1nonumber"/>
      <w:suff w:val="nothing"/>
      <w:lvlText w:val="%1"/>
      <w:lvlJc w:val="left"/>
      <w:pPr>
        <w:ind w:left="0" w:firstLine="0"/>
      </w:pPr>
      <w:rPr>
        <w:rFonts w:ascii="Yu Gothic Medium" w:hAnsi="Yu Gothic Medium" w:hint="default"/>
      </w:rPr>
    </w:lvl>
    <w:lvl w:ilvl="1">
      <w:start w:val="1"/>
      <w:numFmt w:val="none"/>
      <w:pStyle w:val="Heading2nonumber"/>
      <w:suff w:val="nothing"/>
      <w:lvlText w:val="%2"/>
      <w:lvlJc w:val="left"/>
      <w:pPr>
        <w:ind w:left="0" w:firstLine="0"/>
      </w:pPr>
      <w:rPr>
        <w:rFonts w:hint="default"/>
      </w:rPr>
    </w:lvl>
    <w:lvl w:ilvl="2">
      <w:start w:val="1"/>
      <w:numFmt w:val="none"/>
      <w:pStyle w:val="Heading3nonumber"/>
      <w:suff w:val="nothing"/>
      <w:lvlText w:val="%3"/>
      <w:lvlJc w:val="left"/>
      <w:pPr>
        <w:ind w:left="0" w:firstLine="0"/>
      </w:pPr>
      <w:rPr>
        <w:rFonts w:hint="default"/>
      </w:rPr>
    </w:lvl>
    <w:lvl w:ilvl="3">
      <w:start w:val="1"/>
      <w:numFmt w:val="none"/>
      <w:pStyle w:val="Heading4nonumber"/>
      <w:suff w:val="nothing"/>
      <w:lvlText w:val=""/>
      <w:lvlJc w:val="left"/>
      <w:pPr>
        <w:ind w:left="0" w:firstLine="0"/>
      </w:pPr>
      <w:rPr>
        <w:rFonts w:hint="default"/>
      </w:rPr>
    </w:lvl>
    <w:lvl w:ilvl="4">
      <w:start w:val="1"/>
      <w:numFmt w:val="none"/>
      <w:pStyle w:val="Heading5nonumber"/>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2" w15:restartNumberingAfterBreak="0">
    <w:nsid w:val="086B242A"/>
    <w:multiLevelType w:val="hybridMultilevel"/>
    <w:tmpl w:val="0B2E462E"/>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8C23A4D"/>
    <w:multiLevelType w:val="hybridMultilevel"/>
    <w:tmpl w:val="C75A3DC6"/>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91C3165"/>
    <w:multiLevelType w:val="hybridMultilevel"/>
    <w:tmpl w:val="7486BEA2"/>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09930A41"/>
    <w:multiLevelType w:val="hybridMultilevel"/>
    <w:tmpl w:val="29FC37B6"/>
    <w:lvl w:ilvl="0" w:tplc="D8DE5BA6">
      <w:numFmt w:val="bullet"/>
      <w:lvlText w:val=""/>
      <w:lvlJc w:val="left"/>
      <w:pPr>
        <w:ind w:left="72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9A06747"/>
    <w:multiLevelType w:val="hybridMultilevel"/>
    <w:tmpl w:val="BA165CAA"/>
    <w:lvl w:ilvl="0" w:tplc="D8DE5BA6">
      <w:numFmt w:val="bullet"/>
      <w:lvlText w:val=""/>
      <w:lvlJc w:val="left"/>
      <w:pPr>
        <w:ind w:left="72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D187B0E"/>
    <w:multiLevelType w:val="multilevel"/>
    <w:tmpl w:val="56D2329A"/>
    <w:numStyleLink w:val="aacTableListBulletssmall"/>
  </w:abstractNum>
  <w:abstractNum w:abstractNumId="18" w15:restartNumberingAfterBreak="0">
    <w:nsid w:val="0D4A122E"/>
    <w:multiLevelType w:val="hybridMultilevel"/>
    <w:tmpl w:val="30102A48"/>
    <w:lvl w:ilvl="0" w:tplc="D8DE5BA6">
      <w:numFmt w:val="bullet"/>
      <w:lvlText w:val=""/>
      <w:lvlJc w:val="left"/>
      <w:pPr>
        <w:ind w:left="72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DEF36F1"/>
    <w:multiLevelType w:val="hybridMultilevel"/>
    <w:tmpl w:val="D206CA7A"/>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0E65776F"/>
    <w:multiLevelType w:val="hybridMultilevel"/>
    <w:tmpl w:val="45648000"/>
    <w:lvl w:ilvl="0" w:tplc="C9BA655E">
      <w:start w:val="1"/>
      <w:numFmt w:val="bullet"/>
      <w:lvlText w:val=""/>
      <w:lvlJc w:val="left"/>
      <w:pPr>
        <w:ind w:left="720" w:hanging="360"/>
      </w:pPr>
      <w:rPr>
        <w:rFonts w:ascii="Symbol" w:hAnsi="Symbol" w:hint="default"/>
        <w:b w:val="0"/>
        <w:i w:val="0"/>
        <w:color w:val="7F3D97"/>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EE942B7"/>
    <w:multiLevelType w:val="multilevel"/>
    <w:tmpl w:val="E6AE650E"/>
    <w:numStyleLink w:val="aaclstStyleAppendices"/>
  </w:abstractNum>
  <w:abstractNum w:abstractNumId="22" w15:restartNumberingAfterBreak="0">
    <w:nsid w:val="0F124C82"/>
    <w:multiLevelType w:val="hybridMultilevel"/>
    <w:tmpl w:val="AF6A21EA"/>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0F2C46B7"/>
    <w:multiLevelType w:val="hybridMultilevel"/>
    <w:tmpl w:val="496282CE"/>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113252CB"/>
    <w:multiLevelType w:val="hybridMultilevel"/>
    <w:tmpl w:val="117C0C8C"/>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2E04B43"/>
    <w:multiLevelType w:val="multilevel"/>
    <w:tmpl w:val="298403DA"/>
    <w:lvl w:ilvl="0">
      <w:start w:val="1"/>
      <w:numFmt w:val="none"/>
      <w:lvlText w:val="%1"/>
      <w:lvlJc w:val="left"/>
      <w:pPr>
        <w:ind w:left="0" w:firstLine="0"/>
      </w:pPr>
      <w:rPr>
        <w:rFonts w:ascii="Yu Gothic Medium" w:hAnsi="Yu Gothic Medium" w:hint="default"/>
        <w:sz w:val="20"/>
      </w:rPr>
    </w:lvl>
    <w:lvl w:ilvl="1">
      <w:start w:val="1"/>
      <w:numFmt w:val="none"/>
      <w:suff w:val="nothing"/>
      <w:lvlText w:val="%2"/>
      <w:lvlJc w:val="right"/>
      <w:pPr>
        <w:ind w:left="567" w:hanging="567"/>
      </w:pPr>
      <w:rPr>
        <w:rFonts w:hint="default"/>
      </w:rPr>
    </w:lvl>
    <w:lvl w:ilvl="2">
      <w:start w:val="1"/>
      <w:numFmt w:val="none"/>
      <w:suff w:val="nothing"/>
      <w:lvlText w:val="%3"/>
      <w:lvlJc w:val="right"/>
      <w:pPr>
        <w:ind w:left="1134" w:hanging="567"/>
      </w:pPr>
      <w:rPr>
        <w:rFonts w:hint="default"/>
      </w:rPr>
    </w:lvl>
    <w:lvl w:ilvl="3">
      <w:start w:val="1"/>
      <w:numFmt w:val="none"/>
      <w:lvlText w:val=""/>
      <w:lvlJc w:val="left"/>
      <w:pPr>
        <w:ind w:left="1701" w:hanging="567"/>
      </w:pPr>
      <w:rPr>
        <w:rFonts w:hint="default"/>
      </w:rPr>
    </w:lvl>
    <w:lvl w:ilvl="4">
      <w:start w:val="1"/>
      <w:numFmt w:val="lowerLetter"/>
      <w:lvlText w:val="(%5)"/>
      <w:lvlJc w:val="left"/>
      <w:pPr>
        <w:ind w:left="336" w:hanging="336"/>
      </w:pPr>
      <w:rPr>
        <w:rFonts w:hint="default"/>
      </w:rPr>
    </w:lvl>
    <w:lvl w:ilvl="5">
      <w:start w:val="1"/>
      <w:numFmt w:val="none"/>
      <w:lvlText w:val=""/>
      <w:lvlJc w:val="left"/>
      <w:pPr>
        <w:ind w:left="336" w:hanging="336"/>
      </w:pPr>
      <w:rPr>
        <w:rFonts w:hint="default"/>
      </w:rPr>
    </w:lvl>
    <w:lvl w:ilvl="6">
      <w:start w:val="1"/>
      <w:numFmt w:val="none"/>
      <w:lvlText w:val="%7"/>
      <w:lvlJc w:val="left"/>
      <w:pPr>
        <w:ind w:left="0" w:firstLine="0"/>
      </w:pPr>
      <w:rPr>
        <w:rFonts w:hint="default"/>
        <w:color w:val="FFFEFF"/>
      </w:rPr>
    </w:lvl>
    <w:lvl w:ilvl="7">
      <w:start w:val="1"/>
      <w:numFmt w:val="lowerLetter"/>
      <w:lvlText w:val="%8."/>
      <w:lvlJc w:val="left"/>
      <w:pPr>
        <w:ind w:left="336" w:hanging="336"/>
      </w:pPr>
      <w:rPr>
        <w:rFonts w:hint="default"/>
      </w:rPr>
    </w:lvl>
    <w:lvl w:ilvl="8">
      <w:start w:val="1"/>
      <w:numFmt w:val="lowerRoman"/>
      <w:lvlText w:val="%9."/>
      <w:lvlJc w:val="left"/>
      <w:pPr>
        <w:ind w:left="336" w:hanging="336"/>
      </w:pPr>
      <w:rPr>
        <w:rFonts w:hint="default"/>
      </w:rPr>
    </w:lvl>
  </w:abstractNum>
  <w:abstractNum w:abstractNumId="26" w15:restartNumberingAfterBreak="0">
    <w:nsid w:val="132B14F7"/>
    <w:multiLevelType w:val="multilevel"/>
    <w:tmpl w:val="56D2329A"/>
    <w:styleLink w:val="aacTableListBulletssmall"/>
    <w:lvl w:ilvl="0">
      <w:start w:val="1"/>
      <w:numFmt w:val="bullet"/>
      <w:pStyle w:val="Tablelistbulletsmall"/>
      <w:lvlText w:val="–"/>
      <w:lvlJc w:val="left"/>
      <w:pPr>
        <w:ind w:left="320" w:hanging="280"/>
      </w:pPr>
      <w:rPr>
        <w:rFonts w:ascii="Yu Gothic Medium" w:hAnsi="Yu Gothic Medium" w:hint="default"/>
        <w:sz w:val="15"/>
      </w:rPr>
    </w:lvl>
    <w:lvl w:ilvl="1">
      <w:start w:val="1"/>
      <w:numFmt w:val="bullet"/>
      <w:pStyle w:val="Tablelistbullet2small"/>
      <w:lvlText w:val="–"/>
      <w:lvlJc w:val="left"/>
      <w:pPr>
        <w:tabs>
          <w:tab w:val="num" w:pos="320"/>
        </w:tabs>
        <w:ind w:left="560" w:hanging="240"/>
      </w:pPr>
      <w:rPr>
        <w:rFonts w:ascii="Yu Gothic Medium" w:hAnsi="Yu Gothic Medium" w:hint="default"/>
        <w:sz w:val="15"/>
      </w:rPr>
    </w:lvl>
    <w:lvl w:ilvl="2">
      <w:start w:val="1"/>
      <w:numFmt w:val="bullet"/>
      <w:pStyle w:val="Tablelistbullet3small"/>
      <w:lvlText w:val="–"/>
      <w:lvlJc w:val="left"/>
      <w:pPr>
        <w:ind w:left="800" w:hanging="240"/>
      </w:pPr>
      <w:rPr>
        <w:rFonts w:ascii="Yu Gothic Medium" w:hAnsi="Yu Gothic Medium" w:hint="default"/>
        <w:sz w:val="15"/>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13485927"/>
    <w:multiLevelType w:val="hybridMultilevel"/>
    <w:tmpl w:val="CD84BD46"/>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168E676F"/>
    <w:multiLevelType w:val="multilevel"/>
    <w:tmpl w:val="AC8C0954"/>
    <w:styleLink w:val="aacTableListNumberssmall"/>
    <w:lvl w:ilvl="0">
      <w:start w:val="1"/>
      <w:numFmt w:val="decimal"/>
      <w:pStyle w:val="Tablelistnumbersmall"/>
      <w:lvlText w:val="%1."/>
      <w:lvlJc w:val="left"/>
      <w:pPr>
        <w:ind w:left="320" w:hanging="280"/>
      </w:pPr>
      <w:rPr>
        <w:rFonts w:ascii="Yu Gothic Medium" w:hAnsi="Yu Gothic Medium" w:hint="default"/>
        <w:sz w:val="15"/>
      </w:rPr>
    </w:lvl>
    <w:lvl w:ilvl="1">
      <w:start w:val="1"/>
      <w:numFmt w:val="lowerLetter"/>
      <w:pStyle w:val="Tablelistnumber2small"/>
      <w:lvlText w:val="%2)"/>
      <w:lvlJc w:val="left"/>
      <w:pPr>
        <w:ind w:left="560" w:hanging="240"/>
      </w:pPr>
      <w:rPr>
        <w:rFonts w:ascii="Yu Gothic Medium" w:hAnsi="Yu Gothic Medium" w:hint="default"/>
        <w:sz w:val="15"/>
      </w:rPr>
    </w:lvl>
    <w:lvl w:ilvl="2">
      <w:start w:val="1"/>
      <w:numFmt w:val="lowerRoman"/>
      <w:pStyle w:val="Tablelistnumber3small"/>
      <w:lvlText w:val="%3)"/>
      <w:lvlJc w:val="left"/>
      <w:pPr>
        <w:ind w:left="800" w:hanging="240"/>
      </w:pPr>
      <w:rPr>
        <w:rFonts w:ascii="Yu Gothic Medium" w:hAnsi="Yu Gothic Medium" w:hint="default"/>
        <w:sz w:val="15"/>
      </w:rPr>
    </w:lvl>
    <w:lvl w:ilvl="3">
      <w:start w:val="1"/>
      <w:numFmt w:val="none"/>
      <w:lvlText w:val=""/>
      <w:lvlJc w:val="left"/>
      <w:pPr>
        <w:ind w:left="1021" w:hanging="340"/>
      </w:pPr>
      <w:rPr>
        <w:rFonts w:hint="default"/>
      </w:rPr>
    </w:lvl>
    <w:lvl w:ilvl="4">
      <w:start w:val="1"/>
      <w:numFmt w:val="none"/>
      <w:lvlText w:val=""/>
      <w:lvlJc w:val="left"/>
      <w:pPr>
        <w:ind w:left="1248" w:hanging="340"/>
      </w:pPr>
      <w:rPr>
        <w:rFonts w:hint="default"/>
      </w:rPr>
    </w:lvl>
    <w:lvl w:ilvl="5">
      <w:start w:val="1"/>
      <w:numFmt w:val="none"/>
      <w:lvlText w:val=""/>
      <w:lvlJc w:val="left"/>
      <w:pPr>
        <w:ind w:left="1475" w:hanging="340"/>
      </w:pPr>
      <w:rPr>
        <w:rFonts w:hint="default"/>
      </w:rPr>
    </w:lvl>
    <w:lvl w:ilvl="6">
      <w:start w:val="1"/>
      <w:numFmt w:val="none"/>
      <w:lvlText w:val=""/>
      <w:lvlJc w:val="left"/>
      <w:pPr>
        <w:ind w:left="1702" w:hanging="340"/>
      </w:pPr>
      <w:rPr>
        <w:rFonts w:hint="default"/>
      </w:rPr>
    </w:lvl>
    <w:lvl w:ilvl="7">
      <w:start w:val="1"/>
      <w:numFmt w:val="none"/>
      <w:lvlText w:val=""/>
      <w:lvlJc w:val="left"/>
      <w:pPr>
        <w:ind w:left="1929" w:hanging="340"/>
      </w:pPr>
      <w:rPr>
        <w:rFonts w:hint="default"/>
      </w:rPr>
    </w:lvl>
    <w:lvl w:ilvl="8">
      <w:start w:val="1"/>
      <w:numFmt w:val="none"/>
      <w:lvlText w:val=""/>
      <w:lvlJc w:val="left"/>
      <w:pPr>
        <w:ind w:left="2156" w:hanging="340"/>
      </w:pPr>
      <w:rPr>
        <w:rFonts w:hint="default"/>
      </w:rPr>
    </w:lvl>
  </w:abstractNum>
  <w:abstractNum w:abstractNumId="29" w15:restartNumberingAfterBreak="0">
    <w:nsid w:val="1877449B"/>
    <w:multiLevelType w:val="multilevel"/>
    <w:tmpl w:val="145205FC"/>
    <w:styleLink w:val="aaReportListDash"/>
    <w:lvl w:ilvl="0">
      <w:start w:val="1"/>
      <w:numFmt w:val="bullet"/>
      <w:lvlText w:val="—"/>
      <w:lvlJc w:val="left"/>
      <w:pPr>
        <w:ind w:left="0" w:hanging="448"/>
      </w:pPr>
      <w:rPr>
        <w:rFonts w:ascii="Arial Narrow" w:hAnsi="Arial Narrow" w:hint="default"/>
      </w:rPr>
    </w:lvl>
    <w:lvl w:ilvl="1">
      <w:start w:val="1"/>
      <w:numFmt w:val="bullet"/>
      <w:lvlText w:val="–"/>
      <w:lvlJc w:val="left"/>
      <w:pPr>
        <w:ind w:left="238" w:hanging="238"/>
      </w:pPr>
      <w:rPr>
        <w:rFonts w:ascii="Arial Narrow" w:hAnsi="Arial Narrow" w:hint="default"/>
      </w:rPr>
    </w:lvl>
    <w:lvl w:ilvl="2">
      <w:start w:val="1"/>
      <w:numFmt w:val="bullet"/>
      <w:lvlText w:val="−"/>
      <w:lvlJc w:val="left"/>
      <w:pPr>
        <w:ind w:left="482" w:hanging="244"/>
      </w:pPr>
      <w:rPr>
        <w:rFonts w:ascii="Arial Narrow" w:hAnsi="Arial Narrow" w:hint="default"/>
        <w:position w:val="-2"/>
      </w:rPr>
    </w:lvl>
    <w:lvl w:ilvl="3">
      <w:start w:val="1"/>
      <w:numFmt w:val="bullet"/>
      <w:lvlText w:val="−"/>
      <w:lvlJc w:val="left"/>
      <w:pPr>
        <w:ind w:left="0" w:hanging="448"/>
      </w:pPr>
      <w:rPr>
        <w:rFonts w:ascii="Calibri" w:hAnsi="Calibri" w:hint="default"/>
      </w:rPr>
    </w:lvl>
    <w:lvl w:ilvl="4">
      <w:start w:val="1"/>
      <w:numFmt w:val="bullet"/>
      <w:lvlText w:val="−"/>
      <w:lvlJc w:val="left"/>
      <w:pPr>
        <w:ind w:left="0" w:hanging="448"/>
      </w:pPr>
      <w:rPr>
        <w:rFonts w:ascii="Calibri" w:hAnsi="Calibri" w:hint="default"/>
      </w:rPr>
    </w:lvl>
    <w:lvl w:ilvl="5">
      <w:start w:val="1"/>
      <w:numFmt w:val="bullet"/>
      <w:lvlText w:val="−"/>
      <w:lvlJc w:val="left"/>
      <w:pPr>
        <w:ind w:left="0" w:hanging="448"/>
      </w:pPr>
      <w:rPr>
        <w:rFonts w:ascii="Calibri" w:hAnsi="Calibri" w:hint="default"/>
      </w:rPr>
    </w:lvl>
    <w:lvl w:ilvl="6">
      <w:start w:val="1"/>
      <w:numFmt w:val="bullet"/>
      <w:lvlText w:val="−"/>
      <w:lvlJc w:val="left"/>
      <w:pPr>
        <w:ind w:left="0" w:hanging="448"/>
      </w:pPr>
      <w:rPr>
        <w:rFonts w:ascii="Calibri" w:hAnsi="Calibri" w:hint="default"/>
      </w:rPr>
    </w:lvl>
    <w:lvl w:ilvl="7">
      <w:start w:val="1"/>
      <w:numFmt w:val="bullet"/>
      <w:lvlText w:val="−"/>
      <w:lvlJc w:val="left"/>
      <w:pPr>
        <w:ind w:left="0" w:hanging="448"/>
      </w:pPr>
      <w:rPr>
        <w:rFonts w:ascii="Calibri" w:hAnsi="Calibri" w:hint="default"/>
      </w:rPr>
    </w:lvl>
    <w:lvl w:ilvl="8">
      <w:start w:val="1"/>
      <w:numFmt w:val="bullet"/>
      <w:lvlText w:val="−"/>
      <w:lvlJc w:val="left"/>
      <w:pPr>
        <w:ind w:left="0" w:hanging="448"/>
      </w:pPr>
      <w:rPr>
        <w:rFonts w:ascii="Calibri" w:hAnsi="Calibri" w:hint="default"/>
      </w:rPr>
    </w:lvl>
  </w:abstractNum>
  <w:abstractNum w:abstractNumId="30" w15:restartNumberingAfterBreak="0">
    <w:nsid w:val="1A415C8F"/>
    <w:multiLevelType w:val="multilevel"/>
    <w:tmpl w:val="FAA66FEC"/>
    <w:numStyleLink w:val="aaclstStyleHeadingsES"/>
  </w:abstractNum>
  <w:abstractNum w:abstractNumId="31" w15:restartNumberingAfterBreak="0">
    <w:nsid w:val="1C662060"/>
    <w:multiLevelType w:val="multilevel"/>
    <w:tmpl w:val="2EEC7E9A"/>
    <w:styleLink w:val="aaclstStyleHeadingApp"/>
    <w:lvl w:ilvl="0">
      <w:start w:val="1"/>
      <w:numFmt w:val="upperLetter"/>
      <w:lvlText w:val="%1"/>
      <w:lvlJc w:val="right"/>
      <w:pPr>
        <w:ind w:left="0" w:hanging="240"/>
      </w:pPr>
      <w:rPr>
        <w:rFonts w:hint="default"/>
      </w:rPr>
    </w:lvl>
    <w:lvl w:ilvl="1">
      <w:start w:val="1"/>
      <w:numFmt w:val="decimal"/>
      <w:lvlText w:val="%1.%2"/>
      <w:lvlJc w:val="right"/>
      <w:pPr>
        <w:ind w:left="0" w:hanging="24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1CE252C3"/>
    <w:multiLevelType w:val="hybridMultilevel"/>
    <w:tmpl w:val="A404D09E"/>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1E596FD7"/>
    <w:multiLevelType w:val="hybridMultilevel"/>
    <w:tmpl w:val="C660F328"/>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1EE60D94"/>
    <w:multiLevelType w:val="hybridMultilevel"/>
    <w:tmpl w:val="361E9E6E"/>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20272421"/>
    <w:multiLevelType w:val="hybridMultilevel"/>
    <w:tmpl w:val="6F34A1C6"/>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2073059B"/>
    <w:multiLevelType w:val="multilevel"/>
    <w:tmpl w:val="03FC43F2"/>
    <w:styleLink w:val="aaclstStyleBoxListNumbers"/>
    <w:lvl w:ilvl="0">
      <w:start w:val="1"/>
      <w:numFmt w:val="decimal"/>
      <w:pStyle w:val="BoxListNumber"/>
      <w:lvlText w:val="%1."/>
      <w:lvlJc w:val="left"/>
      <w:pPr>
        <w:ind w:left="312" w:hanging="312"/>
      </w:pPr>
      <w:rPr>
        <w:rFonts w:ascii="Yu Gothic Medium" w:hAnsi="Yu Gothic Medium" w:hint="default"/>
        <w:sz w:val="21"/>
      </w:rPr>
    </w:lvl>
    <w:lvl w:ilvl="1">
      <w:start w:val="1"/>
      <w:numFmt w:val="lowerLetter"/>
      <w:pStyle w:val="BoxListNumber2"/>
      <w:lvlText w:val="%2)"/>
      <w:lvlJc w:val="left"/>
      <w:pPr>
        <w:ind w:left="592" w:hanging="280"/>
      </w:pPr>
      <w:rPr>
        <w:rFonts w:ascii="Yu Gothic Medium" w:hAnsi="Yu Gothic Medium" w:hint="default"/>
        <w:sz w:val="21"/>
      </w:rPr>
    </w:lvl>
    <w:lvl w:ilvl="2">
      <w:start w:val="1"/>
      <w:numFmt w:val="lowerRoman"/>
      <w:pStyle w:val="BoxListNumber3"/>
      <w:lvlText w:val="%3)"/>
      <w:lvlJc w:val="left"/>
      <w:pPr>
        <w:ind w:left="832" w:hanging="240"/>
      </w:pPr>
      <w:rPr>
        <w:rFonts w:ascii="Yu Gothic Medium" w:hAnsi="Yu Gothic Medium" w:hint="default"/>
        <w:sz w:val="21"/>
      </w:rPr>
    </w:lvl>
    <w:lvl w:ilvl="3">
      <w:start w:val="1"/>
      <w:numFmt w:val="decimal"/>
      <w:lvlText w:val="%4."/>
      <w:lvlJc w:val="left"/>
      <w:pPr>
        <w:ind w:left="2880" w:hanging="360"/>
      </w:pPr>
      <w:rPr>
        <w:rFonts w:ascii="Yu Gothic Medium" w:hAnsi="Yu Gothic Medium" w:hint="default"/>
        <w:sz w:val="21"/>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21155C1E"/>
    <w:multiLevelType w:val="hybridMultilevel"/>
    <w:tmpl w:val="8AE26074"/>
    <w:lvl w:ilvl="0" w:tplc="C9BA655E">
      <w:start w:val="1"/>
      <w:numFmt w:val="bullet"/>
      <w:lvlText w:val=""/>
      <w:lvlJc w:val="left"/>
      <w:pPr>
        <w:ind w:left="720" w:hanging="360"/>
      </w:pPr>
      <w:rPr>
        <w:rFonts w:ascii="Symbol" w:hAnsi="Symbol" w:hint="default"/>
        <w:b w:val="0"/>
        <w:i w:val="0"/>
        <w:color w:val="7F3D97"/>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15B4B03"/>
    <w:multiLevelType w:val="multilevel"/>
    <w:tmpl w:val="0E2ADDE0"/>
    <w:numStyleLink w:val="aaclstStyleHeadingNumbered"/>
  </w:abstractNum>
  <w:abstractNum w:abstractNumId="39" w15:restartNumberingAfterBreak="0">
    <w:nsid w:val="243709AB"/>
    <w:multiLevelType w:val="multilevel"/>
    <w:tmpl w:val="AC8C0954"/>
    <w:numStyleLink w:val="aacTableListNumberssmall"/>
  </w:abstractNum>
  <w:abstractNum w:abstractNumId="40" w15:restartNumberingAfterBreak="0">
    <w:nsid w:val="249D6281"/>
    <w:multiLevelType w:val="hybridMultilevel"/>
    <w:tmpl w:val="5C7EE5B4"/>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25124F0F"/>
    <w:multiLevelType w:val="multilevel"/>
    <w:tmpl w:val="8ABE3CAA"/>
    <w:styleLink w:val="aacTableListNumbers"/>
    <w:lvl w:ilvl="0">
      <w:start w:val="1"/>
      <w:numFmt w:val="decimal"/>
      <w:pStyle w:val="Tablelistnumber"/>
      <w:lvlText w:val="%1."/>
      <w:lvlJc w:val="left"/>
      <w:pPr>
        <w:ind w:left="360" w:hanging="320"/>
      </w:pPr>
      <w:rPr>
        <w:rFonts w:ascii="Yu Gothic Medium" w:hAnsi="Yu Gothic Medium" w:hint="default"/>
        <w:sz w:val="19"/>
      </w:rPr>
    </w:lvl>
    <w:lvl w:ilvl="1">
      <w:start w:val="1"/>
      <w:numFmt w:val="lowerLetter"/>
      <w:pStyle w:val="Tablelistnumber2"/>
      <w:lvlText w:val="%2)"/>
      <w:lvlJc w:val="left"/>
      <w:pPr>
        <w:ind w:left="760" w:hanging="400"/>
      </w:pPr>
      <w:rPr>
        <w:rFonts w:ascii="Yu Gothic Medium" w:hAnsi="Yu Gothic Medium" w:hint="default"/>
        <w:sz w:val="19"/>
      </w:rPr>
    </w:lvl>
    <w:lvl w:ilvl="2">
      <w:start w:val="1"/>
      <w:numFmt w:val="lowerRoman"/>
      <w:pStyle w:val="Tablelistnumber3"/>
      <w:lvlText w:val="%3)"/>
      <w:lvlJc w:val="left"/>
      <w:pPr>
        <w:ind w:left="980" w:hanging="220"/>
      </w:pPr>
      <w:rPr>
        <w:rFonts w:ascii="Yu Gothic Medium" w:hAnsi="Yu Gothic Medium" w:hint="default"/>
        <w:sz w:val="19"/>
      </w:rPr>
    </w:lvl>
    <w:lvl w:ilvl="3">
      <w:start w:val="1"/>
      <w:numFmt w:val="decimal"/>
      <w:lvlText w:val="(%4)"/>
      <w:lvlJc w:val="left"/>
      <w:pPr>
        <w:ind w:left="960" w:hanging="240"/>
      </w:pPr>
      <w:rPr>
        <w:rFonts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42" w15:restartNumberingAfterBreak="0">
    <w:nsid w:val="264D0593"/>
    <w:multiLevelType w:val="multilevel"/>
    <w:tmpl w:val="CE66BE7A"/>
    <w:styleLink w:val="lstStyleListNumber"/>
    <w:lvl w:ilvl="0">
      <w:start w:val="1"/>
      <w:numFmt w:val="decimal"/>
      <w:lvlText w:val="%1."/>
      <w:lvlJc w:val="left"/>
      <w:pPr>
        <w:ind w:left="420" w:hanging="420"/>
      </w:pPr>
      <w:rPr>
        <w:rFonts w:ascii="Arial Narrow" w:hAnsi="Arial Narrow" w:cs="Arial" w:hint="default"/>
      </w:rPr>
    </w:lvl>
    <w:lvl w:ilvl="1">
      <w:start w:val="1"/>
      <w:numFmt w:val="lowerLetter"/>
      <w:lvlText w:val="%2)"/>
      <w:lvlJc w:val="left"/>
      <w:pPr>
        <w:ind w:left="780" w:hanging="360"/>
      </w:pPr>
      <w:rPr>
        <w:rFonts w:ascii="Arial Narrow" w:hAnsi="Arial Narrow" w:hint="default"/>
      </w:rPr>
    </w:lvl>
    <w:lvl w:ilvl="2">
      <w:start w:val="1"/>
      <w:numFmt w:val="lowerRoman"/>
      <w:lvlText w:val="%3)"/>
      <w:lvlJc w:val="left"/>
      <w:pPr>
        <w:ind w:left="1140" w:hanging="360"/>
      </w:pPr>
      <w:rPr>
        <w:rFonts w:ascii="Arial Narrow" w:hAnsi="Arial Narrow"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43" w15:restartNumberingAfterBreak="0">
    <w:nsid w:val="266815D9"/>
    <w:multiLevelType w:val="multilevel"/>
    <w:tmpl w:val="D5641CEC"/>
    <w:lvl w:ilvl="0">
      <w:numFmt w:val="bullet"/>
      <w:pStyle w:val="Tablebullet"/>
      <w:lvlText w:val=""/>
      <w:lvlJc w:val="left"/>
      <w:pPr>
        <w:ind w:left="360" w:hanging="360"/>
      </w:pPr>
      <w:rPr>
        <w:rFonts w:ascii="Symbol" w:hAnsi="Symbol" w:hint="default"/>
        <w:b w:val="0"/>
        <w:bCs w:val="0"/>
        <w:i w:val="0"/>
        <w:iCs w:val="0"/>
        <w:color w:val="6BA643"/>
        <w:spacing w:val="0"/>
        <w:w w:val="131"/>
        <w:sz w:val="20"/>
        <w:szCs w:val="22"/>
      </w:rPr>
    </w:lvl>
    <w:lvl w:ilvl="1">
      <w:start w:val="1"/>
      <w:numFmt w:val="bullet"/>
      <w:lvlText w:val="―"/>
      <w:lvlJc w:val="left"/>
      <w:pPr>
        <w:ind w:left="780" w:hanging="360"/>
      </w:pPr>
      <w:rPr>
        <w:rFonts w:ascii="Arial Narrow" w:hAnsi="Arial Narrow" w:hint="default"/>
      </w:rPr>
    </w:lvl>
    <w:lvl w:ilvl="2">
      <w:start w:val="1"/>
      <w:numFmt w:val="bullet"/>
      <w:lvlText w:val="−"/>
      <w:lvlJc w:val="left"/>
      <w:pPr>
        <w:ind w:left="1140" w:hanging="360"/>
      </w:pPr>
      <w:rPr>
        <w:rFonts w:ascii="Arial Narrow" w:hAnsi="Arial Narrow"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44" w15:restartNumberingAfterBreak="0">
    <w:nsid w:val="267D48F2"/>
    <w:multiLevelType w:val="multilevel"/>
    <w:tmpl w:val="FAA66FEC"/>
    <w:styleLink w:val="aaclstStyleHeadingsES"/>
    <w:lvl w:ilvl="0">
      <w:start w:val="1"/>
      <w:numFmt w:val="none"/>
      <w:pStyle w:val="Heading1ES"/>
      <w:lvlText w:val=""/>
      <w:lvlJc w:val="left"/>
      <w:pPr>
        <w:ind w:left="0" w:firstLine="0"/>
      </w:pPr>
      <w:rPr>
        <w:rFonts w:ascii="Arial Narrow" w:hAnsi="Arial Narrow" w:hint="default"/>
      </w:rPr>
    </w:lvl>
    <w:lvl w:ilvl="1">
      <w:start w:val="1"/>
      <w:numFmt w:val="none"/>
      <w:pStyle w:val="Heading2ES"/>
      <w:lvlText w:val=""/>
      <w:lvlJc w:val="left"/>
      <w:pPr>
        <w:ind w:left="0" w:firstLine="0"/>
      </w:pPr>
      <w:rPr>
        <w:rFonts w:hint="default"/>
      </w:rPr>
    </w:lvl>
    <w:lvl w:ilvl="2">
      <w:start w:val="1"/>
      <w:numFmt w:val="none"/>
      <w:pStyle w:val="Heading3ES"/>
      <w:lvlText w:val=""/>
      <w:lvlJc w:val="left"/>
      <w:pPr>
        <w:ind w:left="0" w:firstLine="0"/>
      </w:pPr>
      <w:rPr>
        <w:rFonts w:hint="default"/>
      </w:rPr>
    </w:lvl>
    <w:lvl w:ilvl="3">
      <w:start w:val="1"/>
      <w:numFmt w:val="none"/>
      <w:pStyle w:val="Heading4ES"/>
      <w:lvlText w:val=""/>
      <w:lvlJc w:val="left"/>
      <w:pPr>
        <w:ind w:left="0" w:firstLine="0"/>
      </w:pPr>
      <w:rPr>
        <w:rFonts w:hint="default"/>
      </w:rPr>
    </w:lvl>
    <w:lvl w:ilvl="4">
      <w:start w:val="1"/>
      <w:numFmt w:val="none"/>
      <w:pStyle w:val="Heading5ES"/>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5" w15:restartNumberingAfterBreak="0">
    <w:nsid w:val="269C7A9C"/>
    <w:multiLevelType w:val="hybridMultilevel"/>
    <w:tmpl w:val="F8929D58"/>
    <w:lvl w:ilvl="0" w:tplc="C9BA655E">
      <w:start w:val="1"/>
      <w:numFmt w:val="bullet"/>
      <w:lvlText w:val=""/>
      <w:lvlJc w:val="left"/>
      <w:pPr>
        <w:ind w:left="720" w:hanging="360"/>
      </w:pPr>
      <w:rPr>
        <w:rFonts w:ascii="Symbol" w:hAnsi="Symbol" w:hint="default"/>
        <w:b w:val="0"/>
        <w:i w:val="0"/>
        <w:color w:val="7F3D97"/>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6F70B57"/>
    <w:multiLevelType w:val="hybridMultilevel"/>
    <w:tmpl w:val="6F04498C"/>
    <w:lvl w:ilvl="0" w:tplc="C9BA655E">
      <w:start w:val="1"/>
      <w:numFmt w:val="bullet"/>
      <w:lvlText w:val=""/>
      <w:lvlJc w:val="left"/>
      <w:pPr>
        <w:ind w:left="720" w:hanging="360"/>
      </w:pPr>
      <w:rPr>
        <w:rFonts w:ascii="Symbol" w:hAnsi="Symbol" w:hint="default"/>
        <w:b w:val="0"/>
        <w:i w:val="0"/>
        <w:color w:val="7F3D97"/>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968306A"/>
    <w:multiLevelType w:val="hybridMultilevel"/>
    <w:tmpl w:val="3E849F30"/>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2E8E3FED"/>
    <w:multiLevelType w:val="hybridMultilevel"/>
    <w:tmpl w:val="D54C418C"/>
    <w:lvl w:ilvl="0" w:tplc="047086E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062551D"/>
    <w:multiLevelType w:val="hybridMultilevel"/>
    <w:tmpl w:val="1C9E35C0"/>
    <w:lvl w:ilvl="0" w:tplc="C9BA655E">
      <w:start w:val="1"/>
      <w:numFmt w:val="bullet"/>
      <w:lvlText w:val=""/>
      <w:lvlJc w:val="left"/>
      <w:pPr>
        <w:ind w:left="720" w:hanging="360"/>
      </w:pPr>
      <w:rPr>
        <w:rFonts w:ascii="Symbol" w:hAnsi="Symbol" w:hint="default"/>
        <w:b w:val="0"/>
        <w:i w:val="0"/>
        <w:color w:val="7F3D97"/>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1AB2891"/>
    <w:multiLevelType w:val="multilevel"/>
    <w:tmpl w:val="6248E440"/>
    <w:styleLink w:val="TOCList"/>
    <w:lvl w:ilvl="0">
      <w:start w:val="1"/>
      <w:numFmt w:val="none"/>
      <w:suff w:val="nothing"/>
      <w:lvlText w:val="%1"/>
      <w:lvlJc w:val="left"/>
      <w:pPr>
        <w:ind w:left="0" w:firstLine="0"/>
      </w:pPr>
      <w:rPr>
        <w:rFonts w:ascii="Yu Gothic Medium" w:hAnsi="Yu Gothic Medium" w:hint="default"/>
        <w:sz w:val="20"/>
      </w:rPr>
    </w:lvl>
    <w:lvl w:ilvl="1">
      <w:start w:val="1"/>
      <w:numFmt w:val="none"/>
      <w:lvlRestart w:val="0"/>
      <w:suff w:val="nothing"/>
      <w:lvlText w:val="%2"/>
      <w:lvlJc w:val="left"/>
      <w:pPr>
        <w:ind w:left="560" w:hanging="560"/>
      </w:pPr>
      <w:rPr>
        <w:rFonts w:hint="default"/>
      </w:rPr>
    </w:lvl>
    <w:lvl w:ilvl="2">
      <w:start w:val="1"/>
      <w:numFmt w:val="none"/>
      <w:lvlRestart w:val="0"/>
      <w:suff w:val="nothing"/>
      <w:lvlText w:val="%3"/>
      <w:lvlJc w:val="left"/>
      <w:pPr>
        <w:ind w:left="1120" w:hanging="560"/>
      </w:pPr>
      <w:rPr>
        <w:rFonts w:hint="default"/>
      </w:rPr>
    </w:lvl>
    <w:lvl w:ilvl="3">
      <w:start w:val="1"/>
      <w:numFmt w:val="none"/>
      <w:lvlRestart w:val="0"/>
      <w:suff w:val="nothing"/>
      <w:lvlText w:val=""/>
      <w:lvlJc w:val="left"/>
      <w:pPr>
        <w:ind w:left="1680" w:hanging="56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51" w15:restartNumberingAfterBreak="0">
    <w:nsid w:val="35E43602"/>
    <w:multiLevelType w:val="hybridMultilevel"/>
    <w:tmpl w:val="325E9B2A"/>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37381C0D"/>
    <w:multiLevelType w:val="hybridMultilevel"/>
    <w:tmpl w:val="D09A2DF6"/>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373B1386"/>
    <w:multiLevelType w:val="hybridMultilevel"/>
    <w:tmpl w:val="3E88692E"/>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37E34D12"/>
    <w:multiLevelType w:val="hybridMultilevel"/>
    <w:tmpl w:val="CC963E22"/>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384D1CBC"/>
    <w:multiLevelType w:val="multilevel"/>
    <w:tmpl w:val="654C7D7E"/>
    <w:numStyleLink w:val="lstStyleHeadingNumbered"/>
  </w:abstractNum>
  <w:abstractNum w:abstractNumId="56" w15:restartNumberingAfterBreak="0">
    <w:nsid w:val="386D6656"/>
    <w:multiLevelType w:val="hybridMultilevel"/>
    <w:tmpl w:val="6BEA89C0"/>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3927596A"/>
    <w:multiLevelType w:val="multilevel"/>
    <w:tmpl w:val="8ABE3CAA"/>
    <w:numStyleLink w:val="aacTableListNumbers"/>
  </w:abstractNum>
  <w:abstractNum w:abstractNumId="58" w15:restartNumberingAfterBreak="0">
    <w:nsid w:val="39505EFB"/>
    <w:multiLevelType w:val="hybridMultilevel"/>
    <w:tmpl w:val="F6525950"/>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399B24B5"/>
    <w:multiLevelType w:val="hybridMultilevel"/>
    <w:tmpl w:val="FAD8F0CE"/>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3A7147E3"/>
    <w:multiLevelType w:val="hybridMultilevel"/>
    <w:tmpl w:val="3424A8BE"/>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3A8716A1"/>
    <w:multiLevelType w:val="hybridMultilevel"/>
    <w:tmpl w:val="9830D8C0"/>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3CD62D95"/>
    <w:multiLevelType w:val="multilevel"/>
    <w:tmpl w:val="8B9A0E4E"/>
    <w:styleLink w:val="aacTableListBullets"/>
    <w:lvl w:ilvl="0">
      <w:start w:val="1"/>
      <w:numFmt w:val="bullet"/>
      <w:pStyle w:val="Tablelistbullet"/>
      <w:lvlText w:val="–"/>
      <w:lvlJc w:val="left"/>
      <w:pPr>
        <w:ind w:left="320" w:hanging="280"/>
      </w:pPr>
      <w:rPr>
        <w:rFonts w:ascii="Yu Gothic Medium" w:hAnsi="Yu Gothic Medium" w:hint="default"/>
        <w:sz w:val="19"/>
      </w:rPr>
    </w:lvl>
    <w:lvl w:ilvl="1">
      <w:start w:val="1"/>
      <w:numFmt w:val="bullet"/>
      <w:pStyle w:val="Tablelistbullet2"/>
      <w:lvlText w:val="–"/>
      <w:lvlJc w:val="left"/>
      <w:pPr>
        <w:ind w:left="560" w:hanging="240"/>
      </w:pPr>
      <w:rPr>
        <w:rFonts w:ascii="Yu Gothic Medium" w:hAnsi="Yu Gothic Medium" w:hint="default"/>
        <w:color w:val="000100"/>
        <w:sz w:val="19"/>
      </w:rPr>
    </w:lvl>
    <w:lvl w:ilvl="2">
      <w:start w:val="1"/>
      <w:numFmt w:val="bullet"/>
      <w:pStyle w:val="Tablelistbullet3"/>
      <w:lvlText w:val="–"/>
      <w:lvlJc w:val="left"/>
      <w:pPr>
        <w:ind w:left="800" w:hanging="240"/>
      </w:pPr>
      <w:rPr>
        <w:rFonts w:ascii="Yu Gothic Medium" w:hAnsi="Yu Gothic Medium" w:hint="default"/>
        <w:sz w:val="19"/>
      </w:rPr>
    </w:lvl>
    <w:lvl w:ilvl="3">
      <w:start w:val="1"/>
      <w:numFmt w:val="decimal"/>
      <w:lvlText w:val="(%4)"/>
      <w:lvlJc w:val="left"/>
      <w:pPr>
        <w:ind w:left="960" w:hanging="240"/>
      </w:pPr>
      <w:rPr>
        <w:rFonts w:ascii="Arial Narrow" w:hAnsi="Arial Narrow"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63" w15:restartNumberingAfterBreak="0">
    <w:nsid w:val="3DD27533"/>
    <w:multiLevelType w:val="hybridMultilevel"/>
    <w:tmpl w:val="01AC93CE"/>
    <w:lvl w:ilvl="0" w:tplc="D8DE5BA6">
      <w:numFmt w:val="bullet"/>
      <w:lvlText w:val=""/>
      <w:lvlJc w:val="left"/>
      <w:pPr>
        <w:ind w:left="72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EA034BA"/>
    <w:multiLevelType w:val="hybridMultilevel"/>
    <w:tmpl w:val="05304C68"/>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41F04B00"/>
    <w:multiLevelType w:val="hybridMultilevel"/>
    <w:tmpl w:val="10F4E37A"/>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44083225"/>
    <w:multiLevelType w:val="multilevel"/>
    <w:tmpl w:val="B288C038"/>
    <w:styleLink w:val="aaclstStyleBoxListBullets"/>
    <w:lvl w:ilvl="0">
      <w:start w:val="1"/>
      <w:numFmt w:val="bullet"/>
      <w:pStyle w:val="BoxListBullet"/>
      <w:lvlText w:val="—"/>
      <w:lvlJc w:val="left"/>
      <w:pPr>
        <w:ind w:left="312" w:hanging="312"/>
      </w:pPr>
      <w:rPr>
        <w:rFonts w:ascii="Yu Gothic Medium" w:hAnsi="Yu Gothic Medium" w:hint="default"/>
        <w:sz w:val="21"/>
      </w:rPr>
    </w:lvl>
    <w:lvl w:ilvl="1">
      <w:start w:val="1"/>
      <w:numFmt w:val="bullet"/>
      <w:pStyle w:val="BoxListBullet2"/>
      <w:lvlText w:val="―"/>
      <w:lvlJc w:val="left"/>
      <w:pPr>
        <w:ind w:left="592" w:hanging="280"/>
      </w:pPr>
      <w:rPr>
        <w:rFonts w:ascii="Yu Gothic Medium" w:hAnsi="Yu Gothic Medium" w:hint="default"/>
        <w:sz w:val="21"/>
      </w:rPr>
    </w:lvl>
    <w:lvl w:ilvl="2">
      <w:start w:val="1"/>
      <w:numFmt w:val="bullet"/>
      <w:pStyle w:val="BoxListBullet3"/>
      <w:lvlText w:val="−"/>
      <w:lvlJc w:val="left"/>
      <w:pPr>
        <w:ind w:left="832" w:hanging="240"/>
      </w:pPr>
      <w:rPr>
        <w:rFonts w:ascii="Yu Gothic Medium" w:hAnsi="Yu Gothic Medium" w:hint="default"/>
        <w:sz w:val="21"/>
      </w:rPr>
    </w:lvl>
    <w:lvl w:ilvl="3">
      <w:start w:val="1"/>
      <w:numFmt w:val="none"/>
      <w:pStyle w:val="BoxQuote"/>
      <w:suff w:val="nothing"/>
      <w:lvlText w:val=""/>
      <w:lvlJc w:val="left"/>
      <w:pPr>
        <w:ind w:left="0" w:firstLine="0"/>
      </w:pPr>
      <w:rPr>
        <w:rFonts w:ascii="Yu Gothic Medium" w:hAnsi="Yu Gothic Medium" w:hint="default"/>
        <w:sz w:val="21"/>
      </w:rPr>
    </w:lvl>
    <w:lvl w:ilvl="4">
      <w:start w:val="1"/>
      <w:numFmt w:val="bullet"/>
      <w:pStyle w:val="BoxQuoteListBullet"/>
      <w:lvlText w:val="–"/>
      <w:lvlJc w:val="left"/>
      <w:pPr>
        <w:ind w:left="312" w:hanging="312"/>
      </w:pPr>
      <w:rPr>
        <w:rFonts w:ascii="Yu Gothic Medium" w:hAnsi="Yu Gothic Medium" w:hint="default"/>
        <w:sz w:val="21"/>
      </w:rPr>
    </w:lvl>
    <w:lvl w:ilvl="5">
      <w:start w:val="1"/>
      <w:numFmt w:val="none"/>
      <w:lvlText w:val=""/>
      <w:lvlJc w:val="left"/>
      <w:pPr>
        <w:ind w:left="1646" w:hanging="446"/>
      </w:pPr>
      <w:rPr>
        <w:rFonts w:hint="default"/>
      </w:rPr>
    </w:lvl>
    <w:lvl w:ilvl="6">
      <w:start w:val="1"/>
      <w:numFmt w:val="none"/>
      <w:lvlText w:val=""/>
      <w:lvlJc w:val="left"/>
      <w:pPr>
        <w:ind w:left="1886" w:hanging="446"/>
      </w:pPr>
      <w:rPr>
        <w:rFonts w:hint="default"/>
      </w:rPr>
    </w:lvl>
    <w:lvl w:ilvl="7">
      <w:start w:val="1"/>
      <w:numFmt w:val="none"/>
      <w:lvlText w:val=""/>
      <w:lvlJc w:val="left"/>
      <w:pPr>
        <w:ind w:left="2126" w:hanging="446"/>
      </w:pPr>
      <w:rPr>
        <w:rFonts w:hint="default"/>
      </w:rPr>
    </w:lvl>
    <w:lvl w:ilvl="8">
      <w:start w:val="1"/>
      <w:numFmt w:val="none"/>
      <w:lvlText w:val=""/>
      <w:lvlJc w:val="left"/>
      <w:pPr>
        <w:ind w:left="2366" w:hanging="446"/>
      </w:pPr>
      <w:rPr>
        <w:rFonts w:hint="default"/>
      </w:rPr>
    </w:lvl>
  </w:abstractNum>
  <w:abstractNum w:abstractNumId="67" w15:restartNumberingAfterBreak="0">
    <w:nsid w:val="45767BA0"/>
    <w:multiLevelType w:val="multilevel"/>
    <w:tmpl w:val="75081F48"/>
    <w:lvl w:ilvl="0">
      <w:start w:val="1"/>
      <w:numFmt w:val="bullet"/>
      <w:pStyle w:val="SideNoteDash"/>
      <w:lvlText w:val="–"/>
      <w:lvlJc w:val="left"/>
      <w:pPr>
        <w:tabs>
          <w:tab w:val="num" w:pos="60"/>
        </w:tabs>
        <w:ind w:left="220" w:hanging="220"/>
      </w:pPr>
      <w:rPr>
        <w:rFonts w:ascii="Arial Narrow" w:hAnsi="Arial Narrow" w:hint="default"/>
      </w:rPr>
    </w:lvl>
    <w:lvl w:ilvl="1">
      <w:start w:val="1"/>
      <w:numFmt w:val="bullet"/>
      <w:pStyle w:val="SideNoteBullet"/>
      <w:lvlText w:val="•"/>
      <w:lvlJc w:val="left"/>
      <w:pPr>
        <w:ind w:left="220" w:hanging="220"/>
      </w:pPr>
      <w:rPr>
        <w:rFonts w:ascii="Arial Narrow" w:hAnsi="Arial Narrow" w:hint="default"/>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457724BF"/>
    <w:multiLevelType w:val="hybridMultilevel"/>
    <w:tmpl w:val="E2543C12"/>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460F67E9"/>
    <w:multiLevelType w:val="multilevel"/>
    <w:tmpl w:val="30CC873A"/>
    <w:numStyleLink w:val="aaclstStyleBullets"/>
  </w:abstractNum>
  <w:abstractNum w:abstractNumId="70" w15:restartNumberingAfterBreak="0">
    <w:nsid w:val="4B6114E9"/>
    <w:multiLevelType w:val="multilevel"/>
    <w:tmpl w:val="30CC873A"/>
    <w:styleLink w:val="aaclstStyleBullets"/>
    <w:lvl w:ilvl="0">
      <w:start w:val="1"/>
      <w:numFmt w:val="bullet"/>
      <w:pStyle w:val="ListBullet"/>
      <w:lvlText w:val="—"/>
      <w:lvlJc w:val="left"/>
      <w:pPr>
        <w:ind w:left="420" w:hanging="420"/>
      </w:pPr>
      <w:rPr>
        <w:rFonts w:ascii="Arial Narrow" w:hAnsi="Arial Narrow" w:hint="default"/>
      </w:rPr>
    </w:lvl>
    <w:lvl w:ilvl="1">
      <w:start w:val="1"/>
      <w:numFmt w:val="bullet"/>
      <w:pStyle w:val="ListBullet2"/>
      <w:lvlText w:val="―"/>
      <w:lvlJc w:val="left"/>
      <w:pPr>
        <w:ind w:left="780" w:hanging="360"/>
      </w:pPr>
      <w:rPr>
        <w:rFonts w:ascii="Arial Narrow" w:hAnsi="Arial Narrow" w:hint="default"/>
      </w:rPr>
    </w:lvl>
    <w:lvl w:ilvl="2">
      <w:start w:val="1"/>
      <w:numFmt w:val="bullet"/>
      <w:pStyle w:val="ListBullet3"/>
      <w:lvlText w:val="−"/>
      <w:lvlJc w:val="left"/>
      <w:pPr>
        <w:ind w:left="1140" w:hanging="360"/>
      </w:pPr>
      <w:rPr>
        <w:rFonts w:ascii="Arial Narrow" w:hAnsi="Arial Narrow"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71" w15:restartNumberingAfterBreak="0">
    <w:nsid w:val="4BED025A"/>
    <w:multiLevelType w:val="hybridMultilevel"/>
    <w:tmpl w:val="11DA305E"/>
    <w:lvl w:ilvl="0" w:tplc="C9BA655E">
      <w:start w:val="1"/>
      <w:numFmt w:val="bullet"/>
      <w:lvlText w:val=""/>
      <w:lvlJc w:val="left"/>
      <w:pPr>
        <w:ind w:left="720" w:hanging="360"/>
      </w:pPr>
      <w:rPr>
        <w:rFonts w:ascii="Symbol" w:hAnsi="Symbol" w:hint="default"/>
        <w:b w:val="0"/>
        <w:i w:val="0"/>
        <w:color w:val="7F3D97"/>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4C5344A7"/>
    <w:multiLevelType w:val="hybridMultilevel"/>
    <w:tmpl w:val="01EE64F4"/>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4CA81F24"/>
    <w:multiLevelType w:val="hybridMultilevel"/>
    <w:tmpl w:val="58EE0412"/>
    <w:lvl w:ilvl="0" w:tplc="C9BA655E">
      <w:start w:val="1"/>
      <w:numFmt w:val="bullet"/>
      <w:lvlText w:val=""/>
      <w:lvlJc w:val="left"/>
      <w:pPr>
        <w:ind w:left="720" w:hanging="360"/>
      </w:pPr>
      <w:rPr>
        <w:rFonts w:ascii="Symbol" w:hAnsi="Symbol" w:hint="default"/>
        <w:b w:val="0"/>
        <w:i w:val="0"/>
        <w:color w:val="7F3D97"/>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05F1181"/>
    <w:multiLevelType w:val="multilevel"/>
    <w:tmpl w:val="26223CFC"/>
    <w:styleLink w:val="aaclstStyleTableQuote"/>
    <w:lvl w:ilvl="0">
      <w:start w:val="1"/>
      <w:numFmt w:val="none"/>
      <w:pStyle w:val="TableQuote"/>
      <w:suff w:val="nothing"/>
      <w:lvlText w:val="%1"/>
      <w:lvlJc w:val="left"/>
      <w:pPr>
        <w:ind w:left="0" w:firstLine="0"/>
      </w:pPr>
      <w:rPr>
        <w:rFonts w:ascii="Yu Gothic Medium" w:hAnsi="Yu Gothic Medium" w:hint="default"/>
        <w:sz w:val="19"/>
      </w:rPr>
    </w:lvl>
    <w:lvl w:ilvl="1">
      <w:start w:val="1"/>
      <w:numFmt w:val="bullet"/>
      <w:pStyle w:val="TableQuoteBullet"/>
      <w:lvlText w:val="–"/>
      <w:lvlJc w:val="left"/>
      <w:pPr>
        <w:ind w:left="360" w:hanging="320"/>
      </w:pPr>
      <w:rPr>
        <w:rFonts w:ascii="Yu Gothic Medium" w:hAnsi="Yu Gothic Medium" w:hint="default"/>
        <w:sz w:val="19"/>
      </w:rPr>
    </w:lvl>
    <w:lvl w:ilvl="2">
      <w:start w:val="1"/>
      <w:numFmt w:val="none"/>
      <w:suff w:val="nothing"/>
      <w:lvlText w:val=""/>
      <w:lvlJc w:val="left"/>
      <w:pPr>
        <w:ind w:left="0" w:firstLine="0"/>
      </w:pPr>
      <w:rPr>
        <w:rFonts w:ascii="Yu Gothic Medium" w:hAnsi="Yu Gothic Medium" w:hint="eastAsia"/>
        <w:sz w:val="19"/>
      </w:rPr>
    </w:lvl>
    <w:lvl w:ilvl="3">
      <w:start w:val="1"/>
      <w:numFmt w:val="bullet"/>
      <w:lvlText w:val=""/>
      <w:lvlJc w:val="left"/>
      <w:pPr>
        <w:ind w:left="2880" w:hanging="360"/>
      </w:pPr>
      <w:rPr>
        <w:rFonts w:ascii="Yu Gothic Medium" w:hAnsi="Yu Gothic Medium" w:hint="default"/>
        <w:sz w:val="19"/>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50E9377F"/>
    <w:multiLevelType w:val="multilevel"/>
    <w:tmpl w:val="CE66BE7A"/>
    <w:styleLink w:val="aaclstStyleListNumber"/>
    <w:lvl w:ilvl="0">
      <w:start w:val="1"/>
      <w:numFmt w:val="decimal"/>
      <w:pStyle w:val="ListNumber"/>
      <w:lvlText w:val="%1."/>
      <w:lvlJc w:val="left"/>
      <w:pPr>
        <w:ind w:left="420" w:hanging="420"/>
      </w:pPr>
      <w:rPr>
        <w:rFonts w:ascii="Arial Narrow" w:hAnsi="Arial Narrow" w:cs="Arial" w:hint="default"/>
      </w:rPr>
    </w:lvl>
    <w:lvl w:ilvl="1">
      <w:start w:val="1"/>
      <w:numFmt w:val="lowerLetter"/>
      <w:pStyle w:val="ListNumber2"/>
      <w:lvlText w:val="%2)"/>
      <w:lvlJc w:val="left"/>
      <w:pPr>
        <w:ind w:left="780" w:hanging="360"/>
      </w:pPr>
      <w:rPr>
        <w:rFonts w:ascii="Arial Narrow" w:hAnsi="Arial Narrow" w:hint="default"/>
      </w:rPr>
    </w:lvl>
    <w:lvl w:ilvl="2">
      <w:start w:val="1"/>
      <w:numFmt w:val="lowerRoman"/>
      <w:pStyle w:val="ListNumber3"/>
      <w:lvlText w:val="%3)"/>
      <w:lvlJc w:val="left"/>
      <w:pPr>
        <w:ind w:left="1140" w:hanging="360"/>
      </w:pPr>
      <w:rPr>
        <w:rFonts w:ascii="Arial Narrow" w:hAnsi="Arial Narrow"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76" w15:restartNumberingAfterBreak="0">
    <w:nsid w:val="532D23B6"/>
    <w:multiLevelType w:val="multilevel"/>
    <w:tmpl w:val="654C7D7E"/>
    <w:styleLink w:val="lstStyleHeadingNumbered"/>
    <w:lvl w:ilvl="0">
      <w:start w:val="1"/>
      <w:numFmt w:val="decimal"/>
      <w:pStyle w:val="Heading1"/>
      <w:lvlText w:val="%1"/>
      <w:lvlJc w:val="right"/>
      <w:pPr>
        <w:ind w:left="0" w:hanging="360"/>
      </w:pPr>
      <w:rPr>
        <w:rFonts w:ascii="Yu Gothic Medium" w:eastAsia="Yu Gothic Medium" w:hAnsi="Yu Gothic Medium" w:hint="eastAsia"/>
      </w:rPr>
    </w:lvl>
    <w:lvl w:ilvl="1">
      <w:start w:val="1"/>
      <w:numFmt w:val="decimal"/>
      <w:pStyle w:val="Heading2"/>
      <w:lvlText w:val="%1.%2"/>
      <w:lvlJc w:val="right"/>
      <w:pPr>
        <w:ind w:left="0" w:hanging="360"/>
      </w:pPr>
      <w:rPr>
        <w:rFonts w:hint="default"/>
      </w:rPr>
    </w:lvl>
    <w:lvl w:ilvl="2">
      <w:start w:val="1"/>
      <w:numFmt w:val="none"/>
      <w:pStyle w:val="Heading3"/>
      <w:suff w:val="nothing"/>
      <w:lvlText w:val=""/>
      <w:lvlJc w:val="left"/>
      <w:pPr>
        <w:ind w:left="0" w:firstLine="0"/>
      </w:pPr>
      <w:rPr>
        <w:rFonts w:ascii="Yu Gothic Medium" w:eastAsia="Yu Gothic Medium" w:hAnsi="Yu Gothic Medium" w:hint="eastAsia"/>
        <w:sz w:val="28"/>
      </w:rPr>
    </w:lvl>
    <w:lvl w:ilvl="3">
      <w:start w:val="1"/>
      <w:numFmt w:val="none"/>
      <w:lvlRestart w:val="0"/>
      <w:pStyle w:val="Heading4"/>
      <w:lvlText w:val=""/>
      <w:lvlJc w:val="left"/>
      <w:pPr>
        <w:ind w:left="0" w:firstLine="0"/>
      </w:pPr>
      <w:rPr>
        <w:rFonts w:hint="default"/>
      </w:rPr>
    </w:lvl>
    <w:lvl w:ilvl="4">
      <w:start w:val="1"/>
      <w:numFmt w:val="none"/>
      <w:lvlRestart w:val="0"/>
      <w:pStyle w:val="Heading5"/>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7" w15:restartNumberingAfterBreak="0">
    <w:nsid w:val="535E057B"/>
    <w:multiLevelType w:val="multilevel"/>
    <w:tmpl w:val="0E2ADDE0"/>
    <w:styleLink w:val="aaclstStyleHeadingNumbered"/>
    <w:lvl w:ilvl="0">
      <w:start w:val="1"/>
      <w:numFmt w:val="upperLetter"/>
      <w:pStyle w:val="Heading1AP"/>
      <w:lvlText w:val="%1."/>
      <w:lvlJc w:val="right"/>
      <w:pPr>
        <w:ind w:left="0" w:hanging="360"/>
      </w:pPr>
      <w:rPr>
        <w:rFonts w:hint="default"/>
        <w:color w:val="140034"/>
      </w:rPr>
    </w:lvl>
    <w:lvl w:ilvl="1">
      <w:start w:val="1"/>
      <w:numFmt w:val="decimal"/>
      <w:pStyle w:val="Heading2AP"/>
      <w:lvlText w:val="%1.%2"/>
      <w:lvlJc w:val="right"/>
      <w:pPr>
        <w:ind w:left="0" w:hanging="360"/>
      </w:pPr>
      <w:rPr>
        <w:rFonts w:hint="default"/>
      </w:rPr>
    </w:lvl>
    <w:lvl w:ilvl="2">
      <w:start w:val="1"/>
      <w:numFmt w:val="decimal"/>
      <w:pStyle w:val="Heading3AP"/>
      <w:lvlText w:val="%1.%2.%3"/>
      <w:lvlJc w:val="left"/>
      <w:pPr>
        <w:tabs>
          <w:tab w:val="num" w:pos="1000"/>
        </w:tabs>
        <w:ind w:left="1000" w:hanging="1000"/>
      </w:pPr>
      <w:rPr>
        <w:rFonts w:hint="default"/>
        <w:sz w:val="28"/>
      </w:rPr>
    </w:lvl>
    <w:lvl w:ilvl="3">
      <w:start w:val="1"/>
      <w:numFmt w:val="none"/>
      <w:pStyle w:val="Heading4AP"/>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8" w15:restartNumberingAfterBreak="0">
    <w:nsid w:val="53EB2D7C"/>
    <w:multiLevelType w:val="hybridMultilevel"/>
    <w:tmpl w:val="2F145D46"/>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59677C61"/>
    <w:multiLevelType w:val="hybridMultilevel"/>
    <w:tmpl w:val="BE22CABC"/>
    <w:lvl w:ilvl="0" w:tplc="D8DE5BA6">
      <w:numFmt w:val="bullet"/>
      <w:lvlText w:val=""/>
      <w:lvlJc w:val="left"/>
      <w:pPr>
        <w:ind w:left="72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E2209AD"/>
    <w:multiLevelType w:val="hybridMultilevel"/>
    <w:tmpl w:val="BAD04B80"/>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5F7962AD"/>
    <w:multiLevelType w:val="hybridMultilevel"/>
    <w:tmpl w:val="98CE7C46"/>
    <w:lvl w:ilvl="0" w:tplc="D8DE5BA6">
      <w:numFmt w:val="bullet"/>
      <w:lvlText w:val=""/>
      <w:lvlJc w:val="left"/>
      <w:pPr>
        <w:ind w:left="72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FF471AE"/>
    <w:multiLevelType w:val="hybridMultilevel"/>
    <w:tmpl w:val="D026C4D8"/>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60E20153"/>
    <w:multiLevelType w:val="hybridMultilevel"/>
    <w:tmpl w:val="E0E072C6"/>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642F1928"/>
    <w:multiLevelType w:val="hybridMultilevel"/>
    <w:tmpl w:val="B5F86B04"/>
    <w:lvl w:ilvl="0" w:tplc="0DDCFD34">
      <w:start w:val="1"/>
      <w:numFmt w:val="bullet"/>
      <w:pStyle w:val="QuoteListBullet"/>
      <w:lvlText w:val="–"/>
      <w:lvlJc w:val="left"/>
      <w:pPr>
        <w:ind w:left="360" w:hanging="360"/>
      </w:pPr>
      <w:rPr>
        <w:rFonts w:ascii="Arial Narrow" w:hAnsi="Arial Narrow" w:hint="default"/>
        <w:sz w:val="18"/>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85" w15:restartNumberingAfterBreak="0">
    <w:nsid w:val="64E8647C"/>
    <w:multiLevelType w:val="hybridMultilevel"/>
    <w:tmpl w:val="457068DC"/>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7C00B4B"/>
    <w:multiLevelType w:val="hybridMultilevel"/>
    <w:tmpl w:val="D5A6ECE2"/>
    <w:lvl w:ilvl="0" w:tplc="D8DE5BA6">
      <w:numFmt w:val="bullet"/>
      <w:lvlText w:val=""/>
      <w:lvlJc w:val="left"/>
      <w:pPr>
        <w:ind w:left="72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8792B18"/>
    <w:multiLevelType w:val="hybridMultilevel"/>
    <w:tmpl w:val="CF3231CA"/>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68BD6108"/>
    <w:multiLevelType w:val="hybridMultilevel"/>
    <w:tmpl w:val="74F69280"/>
    <w:lvl w:ilvl="0" w:tplc="D8DE5BA6">
      <w:numFmt w:val="bullet"/>
      <w:lvlText w:val=""/>
      <w:lvlJc w:val="left"/>
      <w:pPr>
        <w:ind w:left="72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99F57EA"/>
    <w:multiLevelType w:val="multilevel"/>
    <w:tmpl w:val="CE66BE7A"/>
    <w:numStyleLink w:val="aaclstStyleListNumber"/>
  </w:abstractNum>
  <w:abstractNum w:abstractNumId="90" w15:restartNumberingAfterBreak="0">
    <w:nsid w:val="6E672DEE"/>
    <w:multiLevelType w:val="hybridMultilevel"/>
    <w:tmpl w:val="93628912"/>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70AC3EA3"/>
    <w:multiLevelType w:val="hybridMultilevel"/>
    <w:tmpl w:val="7BE6B306"/>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755059B7"/>
    <w:multiLevelType w:val="hybridMultilevel"/>
    <w:tmpl w:val="0A10702C"/>
    <w:lvl w:ilvl="0" w:tplc="D8DE5BA6">
      <w:numFmt w:val="bullet"/>
      <w:lvlText w:val=""/>
      <w:lvlJc w:val="left"/>
      <w:pPr>
        <w:ind w:left="72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7ED0A9B"/>
    <w:multiLevelType w:val="hybridMultilevel"/>
    <w:tmpl w:val="1A00B4F4"/>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78842887"/>
    <w:multiLevelType w:val="hybridMultilevel"/>
    <w:tmpl w:val="EC8E9B8C"/>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15:restartNumberingAfterBreak="0">
    <w:nsid w:val="78A5334B"/>
    <w:multiLevelType w:val="hybridMultilevel"/>
    <w:tmpl w:val="17DCC1F2"/>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 w15:restartNumberingAfterBreak="0">
    <w:nsid w:val="7ABE1167"/>
    <w:multiLevelType w:val="hybridMultilevel"/>
    <w:tmpl w:val="BA82B07E"/>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7B401A3A"/>
    <w:multiLevelType w:val="multilevel"/>
    <w:tmpl w:val="8B388342"/>
    <w:styleLink w:val="aaclstStyleTableQuoteSmall"/>
    <w:lvl w:ilvl="0">
      <w:start w:val="1"/>
      <w:numFmt w:val="none"/>
      <w:pStyle w:val="TableQuotesmall"/>
      <w:lvlText w:val="%1"/>
      <w:lvlJc w:val="left"/>
      <w:pPr>
        <w:ind w:left="40" w:firstLine="0"/>
      </w:pPr>
      <w:rPr>
        <w:rFonts w:ascii="Yu Gothic Medium" w:hAnsi="Yu Gothic Medium" w:hint="default"/>
        <w:sz w:val="15"/>
      </w:rPr>
    </w:lvl>
    <w:lvl w:ilvl="1">
      <w:start w:val="1"/>
      <w:numFmt w:val="bullet"/>
      <w:pStyle w:val="TableQuoteBulletsmall"/>
      <w:lvlText w:val="–"/>
      <w:lvlJc w:val="left"/>
      <w:pPr>
        <w:ind w:left="360" w:hanging="320"/>
      </w:pPr>
      <w:rPr>
        <w:rFonts w:ascii="Yu Gothic Medium" w:hAnsi="Yu Gothic Medium" w:hint="default"/>
        <w:sz w:val="15"/>
      </w:rPr>
    </w:lvl>
    <w:lvl w:ilvl="2">
      <w:start w:val="1"/>
      <w:numFmt w:val="none"/>
      <w:lvlText w:val=""/>
      <w:lvlJc w:val="left"/>
      <w:pPr>
        <w:ind w:left="2160" w:hanging="360"/>
      </w:pPr>
      <w:rPr>
        <w:rFonts w:ascii="Yu Gothic Medium" w:hAnsi="Yu Gothic Medium" w:hint="eastAsia"/>
        <w:sz w:val="1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7B7E6DF5"/>
    <w:multiLevelType w:val="hybridMultilevel"/>
    <w:tmpl w:val="46221BC4"/>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15:restartNumberingAfterBreak="0">
    <w:nsid w:val="7C5F2A25"/>
    <w:multiLevelType w:val="hybridMultilevel"/>
    <w:tmpl w:val="F6060BB8"/>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15:restartNumberingAfterBreak="0">
    <w:nsid w:val="7D004DFB"/>
    <w:multiLevelType w:val="hybridMultilevel"/>
    <w:tmpl w:val="CEDECC74"/>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7F7D35E3"/>
    <w:multiLevelType w:val="hybridMultilevel"/>
    <w:tmpl w:val="F6F6CFB2"/>
    <w:lvl w:ilvl="0" w:tplc="D8DE5BA6">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3428549">
    <w:abstractNumId w:val="3"/>
  </w:num>
  <w:num w:numId="2" w16cid:durableId="147982349">
    <w:abstractNumId w:val="2"/>
  </w:num>
  <w:num w:numId="3" w16cid:durableId="909660958">
    <w:abstractNumId w:val="1"/>
  </w:num>
  <w:num w:numId="4" w16cid:durableId="654146945">
    <w:abstractNumId w:val="0"/>
  </w:num>
  <w:num w:numId="5" w16cid:durableId="1574391871">
    <w:abstractNumId w:val="70"/>
  </w:num>
  <w:num w:numId="6" w16cid:durableId="1542399526">
    <w:abstractNumId w:val="75"/>
  </w:num>
  <w:num w:numId="7" w16cid:durableId="1480154032">
    <w:abstractNumId w:val="77"/>
  </w:num>
  <w:num w:numId="8" w16cid:durableId="724570413">
    <w:abstractNumId w:val="89"/>
  </w:num>
  <w:num w:numId="9" w16cid:durableId="118650225">
    <w:abstractNumId w:val="69"/>
  </w:num>
  <w:num w:numId="10" w16cid:durableId="1535457088">
    <w:abstractNumId w:val="44"/>
  </w:num>
  <w:num w:numId="11" w16cid:durableId="1275403751">
    <w:abstractNumId w:val="7"/>
  </w:num>
  <w:num w:numId="12" w16cid:durableId="188106127">
    <w:abstractNumId w:val="42"/>
  </w:num>
  <w:num w:numId="13" w16cid:durableId="1617328713">
    <w:abstractNumId w:val="76"/>
  </w:num>
  <w:num w:numId="14" w16cid:durableId="245042219">
    <w:abstractNumId w:val="50"/>
  </w:num>
  <w:num w:numId="15" w16cid:durableId="67851645">
    <w:abstractNumId w:val="25"/>
  </w:num>
  <w:num w:numId="16" w16cid:durableId="1981111602">
    <w:abstractNumId w:val="66"/>
  </w:num>
  <w:num w:numId="17" w16cid:durableId="1719011723">
    <w:abstractNumId w:val="62"/>
  </w:num>
  <w:num w:numId="18" w16cid:durableId="2058237989">
    <w:abstractNumId w:val="26"/>
  </w:num>
  <w:num w:numId="19" w16cid:durableId="1408725090">
    <w:abstractNumId w:val="41"/>
  </w:num>
  <w:num w:numId="20" w16cid:durableId="1984499789">
    <w:abstractNumId w:val="28"/>
  </w:num>
  <w:num w:numId="21" w16cid:durableId="1397053038">
    <w:abstractNumId w:val="36"/>
  </w:num>
  <w:num w:numId="22" w16cid:durableId="276838121">
    <w:abstractNumId w:val="67"/>
  </w:num>
  <w:num w:numId="23" w16cid:durableId="454182914">
    <w:abstractNumId w:val="11"/>
  </w:num>
  <w:num w:numId="24" w16cid:durableId="1724329236">
    <w:abstractNumId w:val="31"/>
  </w:num>
  <w:num w:numId="25" w16cid:durableId="871186591">
    <w:abstractNumId w:val="29"/>
  </w:num>
  <w:num w:numId="26" w16cid:durableId="291521162">
    <w:abstractNumId w:val="84"/>
  </w:num>
  <w:num w:numId="27" w16cid:durableId="137960840">
    <w:abstractNumId w:val="4"/>
  </w:num>
  <w:num w:numId="28" w16cid:durableId="1617761124">
    <w:abstractNumId w:val="57"/>
  </w:num>
  <w:num w:numId="29" w16cid:durableId="485129866">
    <w:abstractNumId w:val="17"/>
  </w:num>
  <w:num w:numId="30" w16cid:durableId="704216658">
    <w:abstractNumId w:val="39"/>
  </w:num>
  <w:num w:numId="31" w16cid:durableId="214124953">
    <w:abstractNumId w:val="74"/>
  </w:num>
  <w:num w:numId="32" w16cid:durableId="1348173469">
    <w:abstractNumId w:val="97"/>
  </w:num>
  <w:num w:numId="33" w16cid:durableId="1876891384">
    <w:abstractNumId w:val="6"/>
  </w:num>
  <w:num w:numId="34" w16cid:durableId="1926063242">
    <w:abstractNumId w:val="30"/>
  </w:num>
  <w:num w:numId="35" w16cid:durableId="161774296">
    <w:abstractNumId w:val="38"/>
  </w:num>
  <w:num w:numId="36" w16cid:durableId="1211923600">
    <w:abstractNumId w:val="55"/>
    <w:lvlOverride w:ilvl="0">
      <w:lvl w:ilvl="0">
        <w:start w:val="1"/>
        <w:numFmt w:val="decimal"/>
        <w:pStyle w:val="Heading1"/>
        <w:lvlText w:val="%1."/>
        <w:lvlJc w:val="left"/>
        <w:pPr>
          <w:ind w:left="360" w:hanging="360"/>
        </w:pPr>
      </w:lvl>
    </w:lvlOverride>
    <w:lvlOverride w:ilvl="1">
      <w:lvl w:ilvl="1">
        <w:start w:val="1"/>
        <w:numFmt w:val="decimal"/>
        <w:pStyle w:val="Heading2"/>
        <w:lvlText w:val="%1.%2."/>
        <w:lvlJc w:val="left"/>
        <w:pPr>
          <w:ind w:left="432" w:hanging="432"/>
        </w:pPr>
      </w:lvl>
    </w:lvlOverride>
    <w:lvlOverride w:ilvl="2">
      <w:lvl w:ilvl="2">
        <w:start w:val="1"/>
        <w:numFmt w:val="decimal"/>
        <w:pStyle w:val="Heading3"/>
        <w:lvlText w:val="%1.%2.%3."/>
        <w:lvlJc w:val="left"/>
        <w:pPr>
          <w:ind w:left="1224" w:hanging="504"/>
        </w:pPr>
      </w:lvl>
    </w:lvlOverride>
    <w:lvlOverride w:ilvl="3">
      <w:lvl w:ilvl="3">
        <w:start w:val="1"/>
        <w:numFmt w:val="decimal"/>
        <w:pStyle w:val="Heading4"/>
        <w:lvlText w:val="%1.%2.%3.%4."/>
        <w:lvlJc w:val="left"/>
        <w:pPr>
          <w:ind w:left="1728" w:hanging="648"/>
        </w:pPr>
      </w:lvl>
    </w:lvlOverride>
    <w:lvlOverride w:ilvl="4">
      <w:lvl w:ilvl="4">
        <w:start w:val="1"/>
        <w:numFmt w:val="decimal"/>
        <w:pStyle w:val="Heading5"/>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7" w16cid:durableId="2033215141">
    <w:abstractNumId w:val="21"/>
  </w:num>
  <w:num w:numId="38" w16cid:durableId="1092356073">
    <w:abstractNumId w:val="43"/>
  </w:num>
  <w:num w:numId="39" w16cid:durableId="970936280">
    <w:abstractNumId w:val="15"/>
  </w:num>
  <w:num w:numId="40" w16cid:durableId="1785924823">
    <w:abstractNumId w:val="86"/>
  </w:num>
  <w:num w:numId="41" w16cid:durableId="1881161355">
    <w:abstractNumId w:val="18"/>
  </w:num>
  <w:num w:numId="42" w16cid:durableId="1226842803">
    <w:abstractNumId w:val="35"/>
  </w:num>
  <w:num w:numId="43" w16cid:durableId="729235001">
    <w:abstractNumId w:val="93"/>
  </w:num>
  <w:num w:numId="44" w16cid:durableId="1723283664">
    <w:abstractNumId w:val="63"/>
  </w:num>
  <w:num w:numId="45" w16cid:durableId="648093368">
    <w:abstractNumId w:val="58"/>
  </w:num>
  <w:num w:numId="46" w16cid:durableId="833493064">
    <w:abstractNumId w:val="59"/>
  </w:num>
  <w:num w:numId="47" w16cid:durableId="500698264">
    <w:abstractNumId w:val="68"/>
  </w:num>
  <w:num w:numId="48" w16cid:durableId="369304177">
    <w:abstractNumId w:val="19"/>
  </w:num>
  <w:num w:numId="49" w16cid:durableId="322122560">
    <w:abstractNumId w:val="100"/>
  </w:num>
  <w:num w:numId="50" w16cid:durableId="576943432">
    <w:abstractNumId w:val="78"/>
  </w:num>
  <w:num w:numId="51" w16cid:durableId="621762399">
    <w:abstractNumId w:val="90"/>
  </w:num>
  <w:num w:numId="52" w16cid:durableId="1730693532">
    <w:abstractNumId w:val="22"/>
  </w:num>
  <w:num w:numId="53" w16cid:durableId="1794246347">
    <w:abstractNumId w:val="34"/>
  </w:num>
  <w:num w:numId="54" w16cid:durableId="1521816231">
    <w:abstractNumId w:val="24"/>
  </w:num>
  <w:num w:numId="55" w16cid:durableId="387075004">
    <w:abstractNumId w:val="40"/>
  </w:num>
  <w:num w:numId="56" w16cid:durableId="1088230797">
    <w:abstractNumId w:val="91"/>
  </w:num>
  <w:num w:numId="57" w16cid:durableId="425273060">
    <w:abstractNumId w:val="51"/>
  </w:num>
  <w:num w:numId="58" w16cid:durableId="1732843659">
    <w:abstractNumId w:val="14"/>
  </w:num>
  <w:num w:numId="59" w16cid:durableId="320428351">
    <w:abstractNumId w:val="85"/>
  </w:num>
  <w:num w:numId="60" w16cid:durableId="1166482173">
    <w:abstractNumId w:val="53"/>
  </w:num>
  <w:num w:numId="61" w16cid:durableId="268860313">
    <w:abstractNumId w:val="47"/>
  </w:num>
  <w:num w:numId="62" w16cid:durableId="2077625901">
    <w:abstractNumId w:val="96"/>
  </w:num>
  <w:num w:numId="63" w16cid:durableId="1316571893">
    <w:abstractNumId w:val="54"/>
  </w:num>
  <w:num w:numId="64" w16cid:durableId="673535403">
    <w:abstractNumId w:val="99"/>
  </w:num>
  <w:num w:numId="65" w16cid:durableId="1615744820">
    <w:abstractNumId w:val="60"/>
  </w:num>
  <w:num w:numId="66" w16cid:durableId="1737898584">
    <w:abstractNumId w:val="12"/>
  </w:num>
  <w:num w:numId="67" w16cid:durableId="1808086789">
    <w:abstractNumId w:val="72"/>
  </w:num>
  <w:num w:numId="68" w16cid:durableId="2082095565">
    <w:abstractNumId w:val="61"/>
  </w:num>
  <w:num w:numId="69" w16cid:durableId="1359310003">
    <w:abstractNumId w:val="13"/>
  </w:num>
  <w:num w:numId="70" w16cid:durableId="691226273">
    <w:abstractNumId w:val="27"/>
  </w:num>
  <w:num w:numId="71" w16cid:durableId="785857754">
    <w:abstractNumId w:val="33"/>
  </w:num>
  <w:num w:numId="72" w16cid:durableId="1164861847">
    <w:abstractNumId w:val="52"/>
  </w:num>
  <w:num w:numId="73" w16cid:durableId="1785422181">
    <w:abstractNumId w:val="10"/>
  </w:num>
  <w:num w:numId="74" w16cid:durableId="570582392">
    <w:abstractNumId w:val="83"/>
  </w:num>
  <w:num w:numId="75" w16cid:durableId="1003320279">
    <w:abstractNumId w:val="88"/>
  </w:num>
  <w:num w:numId="76" w16cid:durableId="1107820736">
    <w:abstractNumId w:val="81"/>
  </w:num>
  <w:num w:numId="77" w16cid:durableId="1503010492">
    <w:abstractNumId w:val="101"/>
  </w:num>
  <w:num w:numId="78" w16cid:durableId="1131283448">
    <w:abstractNumId w:val="16"/>
  </w:num>
  <w:num w:numId="79" w16cid:durableId="1981616966">
    <w:abstractNumId w:val="64"/>
  </w:num>
  <w:num w:numId="80" w16cid:durableId="2073304938">
    <w:abstractNumId w:val="80"/>
  </w:num>
  <w:num w:numId="81" w16cid:durableId="531915086">
    <w:abstractNumId w:val="92"/>
  </w:num>
  <w:num w:numId="82" w16cid:durableId="2139183824">
    <w:abstractNumId w:val="9"/>
  </w:num>
  <w:num w:numId="83" w16cid:durableId="1304047352">
    <w:abstractNumId w:val="95"/>
  </w:num>
  <w:num w:numId="84" w16cid:durableId="660157819">
    <w:abstractNumId w:val="56"/>
  </w:num>
  <w:num w:numId="85" w16cid:durableId="1708868150">
    <w:abstractNumId w:val="82"/>
  </w:num>
  <w:num w:numId="86" w16cid:durableId="1511411131">
    <w:abstractNumId w:val="94"/>
  </w:num>
  <w:num w:numId="87" w16cid:durableId="1692338541">
    <w:abstractNumId w:val="98"/>
  </w:num>
  <w:num w:numId="88" w16cid:durableId="1151100308">
    <w:abstractNumId w:val="79"/>
  </w:num>
  <w:num w:numId="89" w16cid:durableId="1253122363">
    <w:abstractNumId w:val="65"/>
  </w:num>
  <w:num w:numId="90" w16cid:durableId="2089492871">
    <w:abstractNumId w:val="87"/>
  </w:num>
  <w:num w:numId="91" w16cid:durableId="1207059022">
    <w:abstractNumId w:val="23"/>
  </w:num>
  <w:num w:numId="92" w16cid:durableId="418866761">
    <w:abstractNumId w:val="32"/>
  </w:num>
  <w:num w:numId="93" w16cid:durableId="390806965">
    <w:abstractNumId w:val="48"/>
  </w:num>
  <w:num w:numId="94" w16cid:durableId="583954135">
    <w:abstractNumId w:val="8"/>
  </w:num>
  <w:num w:numId="95" w16cid:durableId="1473059891">
    <w:abstractNumId w:val="71"/>
  </w:num>
  <w:num w:numId="96" w16cid:durableId="1404060613">
    <w:abstractNumId w:val="20"/>
  </w:num>
  <w:num w:numId="97" w16cid:durableId="1815177458">
    <w:abstractNumId w:val="73"/>
  </w:num>
  <w:num w:numId="98" w16cid:durableId="194856101">
    <w:abstractNumId w:val="37"/>
  </w:num>
  <w:num w:numId="99" w16cid:durableId="1757823137">
    <w:abstractNumId w:val="45"/>
  </w:num>
  <w:num w:numId="100" w16cid:durableId="1204711282">
    <w:abstractNumId w:val="46"/>
  </w:num>
  <w:num w:numId="101" w16cid:durableId="1984040220">
    <w:abstractNumId w:val="49"/>
  </w:num>
  <w:num w:numId="102" w16cid:durableId="10036606">
    <w:abstractNumId w:val="5"/>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4AF"/>
    <w:rsid w:val="00004480"/>
    <w:rsid w:val="00006A48"/>
    <w:rsid w:val="000073D2"/>
    <w:rsid w:val="00007B50"/>
    <w:rsid w:val="00011422"/>
    <w:rsid w:val="00012326"/>
    <w:rsid w:val="00014175"/>
    <w:rsid w:val="00016EA6"/>
    <w:rsid w:val="0002132B"/>
    <w:rsid w:val="000213D8"/>
    <w:rsid w:val="00025A87"/>
    <w:rsid w:val="00026FF3"/>
    <w:rsid w:val="0002750A"/>
    <w:rsid w:val="000279DC"/>
    <w:rsid w:val="00031D64"/>
    <w:rsid w:val="000345C7"/>
    <w:rsid w:val="00036FAA"/>
    <w:rsid w:val="00040C3D"/>
    <w:rsid w:val="00041BA1"/>
    <w:rsid w:val="00041F57"/>
    <w:rsid w:val="000421E8"/>
    <w:rsid w:val="000460E5"/>
    <w:rsid w:val="00046190"/>
    <w:rsid w:val="000461DA"/>
    <w:rsid w:val="00050A98"/>
    <w:rsid w:val="00052E49"/>
    <w:rsid w:val="000534E5"/>
    <w:rsid w:val="00053542"/>
    <w:rsid w:val="00057123"/>
    <w:rsid w:val="000572B6"/>
    <w:rsid w:val="00057A2D"/>
    <w:rsid w:val="00057F45"/>
    <w:rsid w:val="00057F95"/>
    <w:rsid w:val="000604D5"/>
    <w:rsid w:val="00060D1F"/>
    <w:rsid w:val="00067923"/>
    <w:rsid w:val="00067F76"/>
    <w:rsid w:val="00071ECE"/>
    <w:rsid w:val="00081555"/>
    <w:rsid w:val="00083AC0"/>
    <w:rsid w:val="00085F6B"/>
    <w:rsid w:val="00086941"/>
    <w:rsid w:val="00092765"/>
    <w:rsid w:val="0009328D"/>
    <w:rsid w:val="00094D3A"/>
    <w:rsid w:val="000A418F"/>
    <w:rsid w:val="000A4CFF"/>
    <w:rsid w:val="000A5665"/>
    <w:rsid w:val="000A5A1F"/>
    <w:rsid w:val="000B1D10"/>
    <w:rsid w:val="000B28FA"/>
    <w:rsid w:val="000B3362"/>
    <w:rsid w:val="000B3CCA"/>
    <w:rsid w:val="000B53DE"/>
    <w:rsid w:val="000B78D6"/>
    <w:rsid w:val="000C01F5"/>
    <w:rsid w:val="000C0F1E"/>
    <w:rsid w:val="000C1162"/>
    <w:rsid w:val="000C2024"/>
    <w:rsid w:val="000C54ED"/>
    <w:rsid w:val="000C79CF"/>
    <w:rsid w:val="000D2C04"/>
    <w:rsid w:val="000D3F05"/>
    <w:rsid w:val="000D49D6"/>
    <w:rsid w:val="000D4DE0"/>
    <w:rsid w:val="000D6F48"/>
    <w:rsid w:val="000D72DC"/>
    <w:rsid w:val="000D7C57"/>
    <w:rsid w:val="000E7DE0"/>
    <w:rsid w:val="000F0CA1"/>
    <w:rsid w:val="000F0EAA"/>
    <w:rsid w:val="000F1599"/>
    <w:rsid w:val="000F3E7F"/>
    <w:rsid w:val="000F4692"/>
    <w:rsid w:val="000F5996"/>
    <w:rsid w:val="000F5A47"/>
    <w:rsid w:val="000F67A4"/>
    <w:rsid w:val="000F6C04"/>
    <w:rsid w:val="000F76C4"/>
    <w:rsid w:val="001000C7"/>
    <w:rsid w:val="00101509"/>
    <w:rsid w:val="00102134"/>
    <w:rsid w:val="00102E22"/>
    <w:rsid w:val="00103020"/>
    <w:rsid w:val="0010530F"/>
    <w:rsid w:val="001053EB"/>
    <w:rsid w:val="00107961"/>
    <w:rsid w:val="00111F89"/>
    <w:rsid w:val="00112096"/>
    <w:rsid w:val="00113196"/>
    <w:rsid w:val="00115DE3"/>
    <w:rsid w:val="00116A0E"/>
    <w:rsid w:val="00120062"/>
    <w:rsid w:val="001204F8"/>
    <w:rsid w:val="001209F0"/>
    <w:rsid w:val="00121980"/>
    <w:rsid w:val="00121A6D"/>
    <w:rsid w:val="00121B0F"/>
    <w:rsid w:val="00123050"/>
    <w:rsid w:val="001256D4"/>
    <w:rsid w:val="00131173"/>
    <w:rsid w:val="00134A32"/>
    <w:rsid w:val="001368B0"/>
    <w:rsid w:val="00137BB6"/>
    <w:rsid w:val="0014328D"/>
    <w:rsid w:val="001469A3"/>
    <w:rsid w:val="00150F84"/>
    <w:rsid w:val="00150FA9"/>
    <w:rsid w:val="001520D3"/>
    <w:rsid w:val="00152C11"/>
    <w:rsid w:val="00152DDD"/>
    <w:rsid w:val="00157417"/>
    <w:rsid w:val="001602ED"/>
    <w:rsid w:val="00160C17"/>
    <w:rsid w:val="00161DB2"/>
    <w:rsid w:val="00162A1E"/>
    <w:rsid w:val="0016324A"/>
    <w:rsid w:val="001646CC"/>
    <w:rsid w:val="00167C06"/>
    <w:rsid w:val="00167D08"/>
    <w:rsid w:val="001709BC"/>
    <w:rsid w:val="0017129B"/>
    <w:rsid w:val="001731E6"/>
    <w:rsid w:val="00174323"/>
    <w:rsid w:val="00177BC9"/>
    <w:rsid w:val="001801B5"/>
    <w:rsid w:val="00185B63"/>
    <w:rsid w:val="00187F45"/>
    <w:rsid w:val="00191957"/>
    <w:rsid w:val="00191BF4"/>
    <w:rsid w:val="001925C9"/>
    <w:rsid w:val="00192DFE"/>
    <w:rsid w:val="00192F7B"/>
    <w:rsid w:val="0019538A"/>
    <w:rsid w:val="001A123C"/>
    <w:rsid w:val="001A7349"/>
    <w:rsid w:val="001B19F4"/>
    <w:rsid w:val="001B1E74"/>
    <w:rsid w:val="001B279A"/>
    <w:rsid w:val="001B2A35"/>
    <w:rsid w:val="001B3254"/>
    <w:rsid w:val="001B69FB"/>
    <w:rsid w:val="001C0B47"/>
    <w:rsid w:val="001C19A0"/>
    <w:rsid w:val="001C3FD6"/>
    <w:rsid w:val="001C4899"/>
    <w:rsid w:val="001C6912"/>
    <w:rsid w:val="001C7DD5"/>
    <w:rsid w:val="001D2CFD"/>
    <w:rsid w:val="001D42B2"/>
    <w:rsid w:val="001D581A"/>
    <w:rsid w:val="001D6636"/>
    <w:rsid w:val="001E3128"/>
    <w:rsid w:val="001E36CF"/>
    <w:rsid w:val="001E4608"/>
    <w:rsid w:val="001E46CC"/>
    <w:rsid w:val="001E543E"/>
    <w:rsid w:val="001E6182"/>
    <w:rsid w:val="001E6797"/>
    <w:rsid w:val="001E7AB7"/>
    <w:rsid w:val="001F0C71"/>
    <w:rsid w:val="001F15E7"/>
    <w:rsid w:val="001F197C"/>
    <w:rsid w:val="001F20CA"/>
    <w:rsid w:val="001F284A"/>
    <w:rsid w:val="001F5A81"/>
    <w:rsid w:val="001F5A9C"/>
    <w:rsid w:val="001F6F1F"/>
    <w:rsid w:val="00200F9A"/>
    <w:rsid w:val="00201429"/>
    <w:rsid w:val="0020185D"/>
    <w:rsid w:val="00205755"/>
    <w:rsid w:val="002071B9"/>
    <w:rsid w:val="0020736C"/>
    <w:rsid w:val="00207ACF"/>
    <w:rsid w:val="00211F42"/>
    <w:rsid w:val="0021392E"/>
    <w:rsid w:val="002155A6"/>
    <w:rsid w:val="002179F8"/>
    <w:rsid w:val="00221E70"/>
    <w:rsid w:val="00224FBA"/>
    <w:rsid w:val="002256B2"/>
    <w:rsid w:val="002257DB"/>
    <w:rsid w:val="00225FDD"/>
    <w:rsid w:val="00227670"/>
    <w:rsid w:val="00227DC8"/>
    <w:rsid w:val="002302E7"/>
    <w:rsid w:val="0023120D"/>
    <w:rsid w:val="00232569"/>
    <w:rsid w:val="0023326E"/>
    <w:rsid w:val="00236579"/>
    <w:rsid w:val="00237C84"/>
    <w:rsid w:val="00240E0D"/>
    <w:rsid w:val="00241E1B"/>
    <w:rsid w:val="00243742"/>
    <w:rsid w:val="002437E8"/>
    <w:rsid w:val="00245E41"/>
    <w:rsid w:val="002540C4"/>
    <w:rsid w:val="002543E1"/>
    <w:rsid w:val="002563C8"/>
    <w:rsid w:val="002627BC"/>
    <w:rsid w:val="00262C42"/>
    <w:rsid w:val="00264937"/>
    <w:rsid w:val="00264FBF"/>
    <w:rsid w:val="0026510A"/>
    <w:rsid w:val="00266DBF"/>
    <w:rsid w:val="0026767A"/>
    <w:rsid w:val="00272A88"/>
    <w:rsid w:val="002751E3"/>
    <w:rsid w:val="00276249"/>
    <w:rsid w:val="002777F6"/>
    <w:rsid w:val="0028086C"/>
    <w:rsid w:val="00281E97"/>
    <w:rsid w:val="002831B4"/>
    <w:rsid w:val="00283B4B"/>
    <w:rsid w:val="002844BE"/>
    <w:rsid w:val="00284938"/>
    <w:rsid w:val="00284C7E"/>
    <w:rsid w:val="00284D72"/>
    <w:rsid w:val="00287C49"/>
    <w:rsid w:val="002910E4"/>
    <w:rsid w:val="002913A6"/>
    <w:rsid w:val="00291C71"/>
    <w:rsid w:val="00293795"/>
    <w:rsid w:val="00293A5C"/>
    <w:rsid w:val="002943DA"/>
    <w:rsid w:val="00294767"/>
    <w:rsid w:val="0029649A"/>
    <w:rsid w:val="00296BE7"/>
    <w:rsid w:val="00297B3F"/>
    <w:rsid w:val="00297EC4"/>
    <w:rsid w:val="002A06E8"/>
    <w:rsid w:val="002A2545"/>
    <w:rsid w:val="002A2D05"/>
    <w:rsid w:val="002A344E"/>
    <w:rsid w:val="002A5B57"/>
    <w:rsid w:val="002A6939"/>
    <w:rsid w:val="002B1FF9"/>
    <w:rsid w:val="002B5472"/>
    <w:rsid w:val="002B700E"/>
    <w:rsid w:val="002B78C9"/>
    <w:rsid w:val="002C20D0"/>
    <w:rsid w:val="002C3576"/>
    <w:rsid w:val="002C5383"/>
    <w:rsid w:val="002C6B68"/>
    <w:rsid w:val="002C7274"/>
    <w:rsid w:val="002C7CE6"/>
    <w:rsid w:val="002D2C75"/>
    <w:rsid w:val="002D458A"/>
    <w:rsid w:val="002D4AEE"/>
    <w:rsid w:val="002D59D6"/>
    <w:rsid w:val="002D7D78"/>
    <w:rsid w:val="002E0610"/>
    <w:rsid w:val="002E2EDB"/>
    <w:rsid w:val="002E39A0"/>
    <w:rsid w:val="002E4574"/>
    <w:rsid w:val="002E55CE"/>
    <w:rsid w:val="002E6391"/>
    <w:rsid w:val="002E68D2"/>
    <w:rsid w:val="002E7279"/>
    <w:rsid w:val="002E7969"/>
    <w:rsid w:val="002F2CD4"/>
    <w:rsid w:val="002F3427"/>
    <w:rsid w:val="002F36C6"/>
    <w:rsid w:val="002F4A93"/>
    <w:rsid w:val="002F4D82"/>
    <w:rsid w:val="00300F6F"/>
    <w:rsid w:val="003010B9"/>
    <w:rsid w:val="00301FBF"/>
    <w:rsid w:val="0030250C"/>
    <w:rsid w:val="00303C43"/>
    <w:rsid w:val="00306BE1"/>
    <w:rsid w:val="003071A9"/>
    <w:rsid w:val="00310118"/>
    <w:rsid w:val="00315CD5"/>
    <w:rsid w:val="00322CFF"/>
    <w:rsid w:val="0032392A"/>
    <w:rsid w:val="003240ED"/>
    <w:rsid w:val="00324C12"/>
    <w:rsid w:val="003257B4"/>
    <w:rsid w:val="00326730"/>
    <w:rsid w:val="003275B6"/>
    <w:rsid w:val="00333580"/>
    <w:rsid w:val="00333E4C"/>
    <w:rsid w:val="00336AEE"/>
    <w:rsid w:val="00340374"/>
    <w:rsid w:val="00341017"/>
    <w:rsid w:val="003410DC"/>
    <w:rsid w:val="00343202"/>
    <w:rsid w:val="003467CB"/>
    <w:rsid w:val="003514F4"/>
    <w:rsid w:val="00352A40"/>
    <w:rsid w:val="00352F1F"/>
    <w:rsid w:val="00356469"/>
    <w:rsid w:val="003574F0"/>
    <w:rsid w:val="00360A6B"/>
    <w:rsid w:val="00361875"/>
    <w:rsid w:val="00363715"/>
    <w:rsid w:val="003649DE"/>
    <w:rsid w:val="00364C37"/>
    <w:rsid w:val="003656A2"/>
    <w:rsid w:val="00367281"/>
    <w:rsid w:val="003674C3"/>
    <w:rsid w:val="00370008"/>
    <w:rsid w:val="00370392"/>
    <w:rsid w:val="003729EE"/>
    <w:rsid w:val="00373EAF"/>
    <w:rsid w:val="003753C3"/>
    <w:rsid w:val="00377552"/>
    <w:rsid w:val="00387363"/>
    <w:rsid w:val="00387403"/>
    <w:rsid w:val="00390722"/>
    <w:rsid w:val="00391D8A"/>
    <w:rsid w:val="00392368"/>
    <w:rsid w:val="003927F7"/>
    <w:rsid w:val="00393F90"/>
    <w:rsid w:val="00394848"/>
    <w:rsid w:val="003A1E39"/>
    <w:rsid w:val="003A2379"/>
    <w:rsid w:val="003A2EE4"/>
    <w:rsid w:val="003A7376"/>
    <w:rsid w:val="003B05F3"/>
    <w:rsid w:val="003B0618"/>
    <w:rsid w:val="003B0C43"/>
    <w:rsid w:val="003B13F0"/>
    <w:rsid w:val="003B45D1"/>
    <w:rsid w:val="003B581B"/>
    <w:rsid w:val="003B5D0B"/>
    <w:rsid w:val="003B7702"/>
    <w:rsid w:val="003C17D0"/>
    <w:rsid w:val="003C451B"/>
    <w:rsid w:val="003C67DD"/>
    <w:rsid w:val="003C6A2F"/>
    <w:rsid w:val="003D2B0E"/>
    <w:rsid w:val="003D2BF3"/>
    <w:rsid w:val="003D2CF2"/>
    <w:rsid w:val="003D4AFD"/>
    <w:rsid w:val="003D5322"/>
    <w:rsid w:val="003D7881"/>
    <w:rsid w:val="003E3E9F"/>
    <w:rsid w:val="003E40FF"/>
    <w:rsid w:val="003E4B1E"/>
    <w:rsid w:val="003F416D"/>
    <w:rsid w:val="003F56F2"/>
    <w:rsid w:val="003F70C7"/>
    <w:rsid w:val="00402B5E"/>
    <w:rsid w:val="00404CF0"/>
    <w:rsid w:val="004051FB"/>
    <w:rsid w:val="0040609B"/>
    <w:rsid w:val="00407EA9"/>
    <w:rsid w:val="0041034A"/>
    <w:rsid w:val="0041283F"/>
    <w:rsid w:val="00413EDE"/>
    <w:rsid w:val="00420C69"/>
    <w:rsid w:val="00425D7E"/>
    <w:rsid w:val="00433007"/>
    <w:rsid w:val="00433D12"/>
    <w:rsid w:val="004341CB"/>
    <w:rsid w:val="00437438"/>
    <w:rsid w:val="00437BD6"/>
    <w:rsid w:val="00440EBB"/>
    <w:rsid w:val="00445229"/>
    <w:rsid w:val="00447665"/>
    <w:rsid w:val="00450496"/>
    <w:rsid w:val="00451623"/>
    <w:rsid w:val="00451E08"/>
    <w:rsid w:val="00454E8E"/>
    <w:rsid w:val="004550C0"/>
    <w:rsid w:val="004550D8"/>
    <w:rsid w:val="004552DF"/>
    <w:rsid w:val="004556A2"/>
    <w:rsid w:val="0045584A"/>
    <w:rsid w:val="004558DD"/>
    <w:rsid w:val="004560FE"/>
    <w:rsid w:val="0046074D"/>
    <w:rsid w:val="00461440"/>
    <w:rsid w:val="004625F2"/>
    <w:rsid w:val="00463ECC"/>
    <w:rsid w:val="004653A9"/>
    <w:rsid w:val="00465767"/>
    <w:rsid w:val="00465AE9"/>
    <w:rsid w:val="00466D97"/>
    <w:rsid w:val="004705CB"/>
    <w:rsid w:val="004727F8"/>
    <w:rsid w:val="00473C45"/>
    <w:rsid w:val="004755D0"/>
    <w:rsid w:val="004767E9"/>
    <w:rsid w:val="00477DD8"/>
    <w:rsid w:val="004814E0"/>
    <w:rsid w:val="004818CD"/>
    <w:rsid w:val="00481B05"/>
    <w:rsid w:val="004834FE"/>
    <w:rsid w:val="00484846"/>
    <w:rsid w:val="00484DF1"/>
    <w:rsid w:val="0048517A"/>
    <w:rsid w:val="00485F11"/>
    <w:rsid w:val="004924E8"/>
    <w:rsid w:val="00492935"/>
    <w:rsid w:val="00496AFB"/>
    <w:rsid w:val="00496B65"/>
    <w:rsid w:val="0049773B"/>
    <w:rsid w:val="004A0242"/>
    <w:rsid w:val="004A04E2"/>
    <w:rsid w:val="004A1AEF"/>
    <w:rsid w:val="004A3A03"/>
    <w:rsid w:val="004A4AAF"/>
    <w:rsid w:val="004A4BC3"/>
    <w:rsid w:val="004A5A83"/>
    <w:rsid w:val="004A5E87"/>
    <w:rsid w:val="004A6CB3"/>
    <w:rsid w:val="004A7506"/>
    <w:rsid w:val="004A7922"/>
    <w:rsid w:val="004A7A51"/>
    <w:rsid w:val="004B087F"/>
    <w:rsid w:val="004B0F15"/>
    <w:rsid w:val="004B0FB8"/>
    <w:rsid w:val="004B13D4"/>
    <w:rsid w:val="004B2B08"/>
    <w:rsid w:val="004B361E"/>
    <w:rsid w:val="004B3B70"/>
    <w:rsid w:val="004B3B84"/>
    <w:rsid w:val="004B3C03"/>
    <w:rsid w:val="004B495D"/>
    <w:rsid w:val="004B68FB"/>
    <w:rsid w:val="004C0A5E"/>
    <w:rsid w:val="004C10F0"/>
    <w:rsid w:val="004C2821"/>
    <w:rsid w:val="004C4D71"/>
    <w:rsid w:val="004C4DDA"/>
    <w:rsid w:val="004D0CF2"/>
    <w:rsid w:val="004D3929"/>
    <w:rsid w:val="004D4E93"/>
    <w:rsid w:val="004D5F53"/>
    <w:rsid w:val="004D6322"/>
    <w:rsid w:val="004D73DE"/>
    <w:rsid w:val="004D76E3"/>
    <w:rsid w:val="004E0931"/>
    <w:rsid w:val="004E192A"/>
    <w:rsid w:val="004E2505"/>
    <w:rsid w:val="004E479D"/>
    <w:rsid w:val="004E7428"/>
    <w:rsid w:val="004F1B28"/>
    <w:rsid w:val="004F1D77"/>
    <w:rsid w:val="004F255D"/>
    <w:rsid w:val="004F5749"/>
    <w:rsid w:val="004F621C"/>
    <w:rsid w:val="00501F07"/>
    <w:rsid w:val="005032C8"/>
    <w:rsid w:val="005036D6"/>
    <w:rsid w:val="005044F3"/>
    <w:rsid w:val="00506E5F"/>
    <w:rsid w:val="005118AA"/>
    <w:rsid w:val="00514E2D"/>
    <w:rsid w:val="0052024D"/>
    <w:rsid w:val="00520670"/>
    <w:rsid w:val="005234F5"/>
    <w:rsid w:val="00523E54"/>
    <w:rsid w:val="0052525A"/>
    <w:rsid w:val="00525571"/>
    <w:rsid w:val="005255AB"/>
    <w:rsid w:val="00525C23"/>
    <w:rsid w:val="00527194"/>
    <w:rsid w:val="00527414"/>
    <w:rsid w:val="00530E22"/>
    <w:rsid w:val="00533DB6"/>
    <w:rsid w:val="00533E1D"/>
    <w:rsid w:val="005377FB"/>
    <w:rsid w:val="0054415F"/>
    <w:rsid w:val="005447E7"/>
    <w:rsid w:val="00544C25"/>
    <w:rsid w:val="005458EB"/>
    <w:rsid w:val="00554110"/>
    <w:rsid w:val="0055575F"/>
    <w:rsid w:val="00556893"/>
    <w:rsid w:val="00557FA4"/>
    <w:rsid w:val="00562050"/>
    <w:rsid w:val="00564218"/>
    <w:rsid w:val="00565797"/>
    <w:rsid w:val="005675B1"/>
    <w:rsid w:val="00573AD7"/>
    <w:rsid w:val="00573FD6"/>
    <w:rsid w:val="00577F6D"/>
    <w:rsid w:val="0058042F"/>
    <w:rsid w:val="005818B0"/>
    <w:rsid w:val="00582F7A"/>
    <w:rsid w:val="00583C60"/>
    <w:rsid w:val="005840C1"/>
    <w:rsid w:val="0058426B"/>
    <w:rsid w:val="00584471"/>
    <w:rsid w:val="005864CC"/>
    <w:rsid w:val="00590449"/>
    <w:rsid w:val="00590F1C"/>
    <w:rsid w:val="0059135B"/>
    <w:rsid w:val="00591A9A"/>
    <w:rsid w:val="005928DA"/>
    <w:rsid w:val="005934E7"/>
    <w:rsid w:val="0059443D"/>
    <w:rsid w:val="0059608F"/>
    <w:rsid w:val="00597E7B"/>
    <w:rsid w:val="005A0654"/>
    <w:rsid w:val="005A0C95"/>
    <w:rsid w:val="005A1843"/>
    <w:rsid w:val="005A335C"/>
    <w:rsid w:val="005A493D"/>
    <w:rsid w:val="005A6BC6"/>
    <w:rsid w:val="005B0EEA"/>
    <w:rsid w:val="005B2D90"/>
    <w:rsid w:val="005B3E6A"/>
    <w:rsid w:val="005B5BC4"/>
    <w:rsid w:val="005B5C08"/>
    <w:rsid w:val="005B5FF2"/>
    <w:rsid w:val="005B6E9A"/>
    <w:rsid w:val="005C0661"/>
    <w:rsid w:val="005C54AF"/>
    <w:rsid w:val="005C785A"/>
    <w:rsid w:val="005D074F"/>
    <w:rsid w:val="005D1F1F"/>
    <w:rsid w:val="005D3013"/>
    <w:rsid w:val="005D34C7"/>
    <w:rsid w:val="005D3585"/>
    <w:rsid w:val="005D5B0A"/>
    <w:rsid w:val="005D5E32"/>
    <w:rsid w:val="005D7123"/>
    <w:rsid w:val="005E17C1"/>
    <w:rsid w:val="005E1AD7"/>
    <w:rsid w:val="005E2542"/>
    <w:rsid w:val="005E2987"/>
    <w:rsid w:val="005E3A86"/>
    <w:rsid w:val="005E3D9D"/>
    <w:rsid w:val="005E3FE8"/>
    <w:rsid w:val="005E698A"/>
    <w:rsid w:val="005E6C44"/>
    <w:rsid w:val="005F0790"/>
    <w:rsid w:val="005F128B"/>
    <w:rsid w:val="005F1E5D"/>
    <w:rsid w:val="005F1EB5"/>
    <w:rsid w:val="005F2724"/>
    <w:rsid w:val="005F352F"/>
    <w:rsid w:val="005F3D13"/>
    <w:rsid w:val="005F5B4E"/>
    <w:rsid w:val="005F5D10"/>
    <w:rsid w:val="005F5F8D"/>
    <w:rsid w:val="005F644B"/>
    <w:rsid w:val="005F79CE"/>
    <w:rsid w:val="00605A05"/>
    <w:rsid w:val="00606AB8"/>
    <w:rsid w:val="00607813"/>
    <w:rsid w:val="00610663"/>
    <w:rsid w:val="00611F94"/>
    <w:rsid w:val="006122A0"/>
    <w:rsid w:val="006129C9"/>
    <w:rsid w:val="00622CB7"/>
    <w:rsid w:val="00624EEC"/>
    <w:rsid w:val="00626C83"/>
    <w:rsid w:val="00626CAA"/>
    <w:rsid w:val="00627979"/>
    <w:rsid w:val="00627E72"/>
    <w:rsid w:val="00630102"/>
    <w:rsid w:val="00631246"/>
    <w:rsid w:val="00634BE0"/>
    <w:rsid w:val="00634E7B"/>
    <w:rsid w:val="00635E40"/>
    <w:rsid w:val="006373FA"/>
    <w:rsid w:val="00637DF3"/>
    <w:rsid w:val="00640C76"/>
    <w:rsid w:val="0064369B"/>
    <w:rsid w:val="006468AE"/>
    <w:rsid w:val="00647798"/>
    <w:rsid w:val="00650BCE"/>
    <w:rsid w:val="00650FE7"/>
    <w:rsid w:val="00651C87"/>
    <w:rsid w:val="00651E39"/>
    <w:rsid w:val="006527A1"/>
    <w:rsid w:val="00652E33"/>
    <w:rsid w:val="00653468"/>
    <w:rsid w:val="00654E02"/>
    <w:rsid w:val="00655A75"/>
    <w:rsid w:val="0065744E"/>
    <w:rsid w:val="00660CD3"/>
    <w:rsid w:val="0066179C"/>
    <w:rsid w:val="006627E0"/>
    <w:rsid w:val="006629A7"/>
    <w:rsid w:val="00671E5A"/>
    <w:rsid w:val="00672462"/>
    <w:rsid w:val="00673412"/>
    <w:rsid w:val="0067556C"/>
    <w:rsid w:val="00675C79"/>
    <w:rsid w:val="00675D1C"/>
    <w:rsid w:val="006803CA"/>
    <w:rsid w:val="00681B22"/>
    <w:rsid w:val="0068257A"/>
    <w:rsid w:val="00685950"/>
    <w:rsid w:val="00685C34"/>
    <w:rsid w:val="00687CD8"/>
    <w:rsid w:val="00690A24"/>
    <w:rsid w:val="00690C06"/>
    <w:rsid w:val="00690C33"/>
    <w:rsid w:val="006919D8"/>
    <w:rsid w:val="006932C6"/>
    <w:rsid w:val="00695209"/>
    <w:rsid w:val="006952F1"/>
    <w:rsid w:val="00695E8A"/>
    <w:rsid w:val="0069780C"/>
    <w:rsid w:val="006A0747"/>
    <w:rsid w:val="006A20FC"/>
    <w:rsid w:val="006A227B"/>
    <w:rsid w:val="006A2956"/>
    <w:rsid w:val="006A2C9A"/>
    <w:rsid w:val="006A574F"/>
    <w:rsid w:val="006B3250"/>
    <w:rsid w:val="006B468F"/>
    <w:rsid w:val="006B5D6F"/>
    <w:rsid w:val="006B7778"/>
    <w:rsid w:val="006C258B"/>
    <w:rsid w:val="006C26A8"/>
    <w:rsid w:val="006C321C"/>
    <w:rsid w:val="006C32A1"/>
    <w:rsid w:val="006C4E66"/>
    <w:rsid w:val="006C61B9"/>
    <w:rsid w:val="006C6C63"/>
    <w:rsid w:val="006C76BF"/>
    <w:rsid w:val="006D0FC8"/>
    <w:rsid w:val="006D17B5"/>
    <w:rsid w:val="006D43E6"/>
    <w:rsid w:val="006D48A0"/>
    <w:rsid w:val="006D5B13"/>
    <w:rsid w:val="006D5DE4"/>
    <w:rsid w:val="006D64A6"/>
    <w:rsid w:val="006D6DE7"/>
    <w:rsid w:val="006E3595"/>
    <w:rsid w:val="006E428D"/>
    <w:rsid w:val="006E457D"/>
    <w:rsid w:val="006E53BB"/>
    <w:rsid w:val="006E6E3A"/>
    <w:rsid w:val="006E74EB"/>
    <w:rsid w:val="006E7BA2"/>
    <w:rsid w:val="006F09E4"/>
    <w:rsid w:val="006F1503"/>
    <w:rsid w:val="006F188B"/>
    <w:rsid w:val="006F1B2D"/>
    <w:rsid w:val="006F2B22"/>
    <w:rsid w:val="006F45B9"/>
    <w:rsid w:val="006F469E"/>
    <w:rsid w:val="006F58B0"/>
    <w:rsid w:val="006F6E7C"/>
    <w:rsid w:val="00700903"/>
    <w:rsid w:val="00704A75"/>
    <w:rsid w:val="00704BEA"/>
    <w:rsid w:val="00704D11"/>
    <w:rsid w:val="007053B0"/>
    <w:rsid w:val="00705F23"/>
    <w:rsid w:val="00713543"/>
    <w:rsid w:val="00715973"/>
    <w:rsid w:val="00717C21"/>
    <w:rsid w:val="00717D29"/>
    <w:rsid w:val="0072373A"/>
    <w:rsid w:val="007258DF"/>
    <w:rsid w:val="007271DE"/>
    <w:rsid w:val="00731030"/>
    <w:rsid w:val="007317A3"/>
    <w:rsid w:val="00732BB8"/>
    <w:rsid w:val="00734520"/>
    <w:rsid w:val="00735EB2"/>
    <w:rsid w:val="00736FF3"/>
    <w:rsid w:val="00740413"/>
    <w:rsid w:val="00740769"/>
    <w:rsid w:val="00740BCE"/>
    <w:rsid w:val="00741A7B"/>
    <w:rsid w:val="00742894"/>
    <w:rsid w:val="007446E6"/>
    <w:rsid w:val="0074523D"/>
    <w:rsid w:val="007454FB"/>
    <w:rsid w:val="00745C07"/>
    <w:rsid w:val="0074647A"/>
    <w:rsid w:val="00747BAA"/>
    <w:rsid w:val="00747EF1"/>
    <w:rsid w:val="00750896"/>
    <w:rsid w:val="00750D3D"/>
    <w:rsid w:val="007544C9"/>
    <w:rsid w:val="00754AFA"/>
    <w:rsid w:val="00760454"/>
    <w:rsid w:val="0076301F"/>
    <w:rsid w:val="007638B8"/>
    <w:rsid w:val="00764A9D"/>
    <w:rsid w:val="00766D5E"/>
    <w:rsid w:val="00767FA6"/>
    <w:rsid w:val="00773645"/>
    <w:rsid w:val="007737DD"/>
    <w:rsid w:val="00774632"/>
    <w:rsid w:val="00775FB6"/>
    <w:rsid w:val="00777E05"/>
    <w:rsid w:val="0078105D"/>
    <w:rsid w:val="00781203"/>
    <w:rsid w:val="00781304"/>
    <w:rsid w:val="00782356"/>
    <w:rsid w:val="00782AA7"/>
    <w:rsid w:val="007834D3"/>
    <w:rsid w:val="007855C9"/>
    <w:rsid w:val="00786D98"/>
    <w:rsid w:val="007877E2"/>
    <w:rsid w:val="00791ECE"/>
    <w:rsid w:val="007923D8"/>
    <w:rsid w:val="007938D9"/>
    <w:rsid w:val="00794502"/>
    <w:rsid w:val="00794E0B"/>
    <w:rsid w:val="00795D0E"/>
    <w:rsid w:val="007968DC"/>
    <w:rsid w:val="007A0228"/>
    <w:rsid w:val="007A1923"/>
    <w:rsid w:val="007A445E"/>
    <w:rsid w:val="007A6953"/>
    <w:rsid w:val="007A6A6E"/>
    <w:rsid w:val="007A77EC"/>
    <w:rsid w:val="007B4B86"/>
    <w:rsid w:val="007B711A"/>
    <w:rsid w:val="007C0D8B"/>
    <w:rsid w:val="007C17F4"/>
    <w:rsid w:val="007C1A6A"/>
    <w:rsid w:val="007C1EEE"/>
    <w:rsid w:val="007C27C6"/>
    <w:rsid w:val="007C295B"/>
    <w:rsid w:val="007C3AA9"/>
    <w:rsid w:val="007C3BC7"/>
    <w:rsid w:val="007C49C6"/>
    <w:rsid w:val="007C4C93"/>
    <w:rsid w:val="007C4FF2"/>
    <w:rsid w:val="007C6810"/>
    <w:rsid w:val="007D1B1F"/>
    <w:rsid w:val="007D2B76"/>
    <w:rsid w:val="007D2D9A"/>
    <w:rsid w:val="007D3028"/>
    <w:rsid w:val="007D3956"/>
    <w:rsid w:val="007D50B1"/>
    <w:rsid w:val="007D7744"/>
    <w:rsid w:val="007E23A9"/>
    <w:rsid w:val="007E4474"/>
    <w:rsid w:val="007E495B"/>
    <w:rsid w:val="007E79DE"/>
    <w:rsid w:val="007F0A2C"/>
    <w:rsid w:val="007F14E3"/>
    <w:rsid w:val="007F1E9E"/>
    <w:rsid w:val="007F2070"/>
    <w:rsid w:val="0080158B"/>
    <w:rsid w:val="00801D89"/>
    <w:rsid w:val="00802CE0"/>
    <w:rsid w:val="00810D11"/>
    <w:rsid w:val="00811FAB"/>
    <w:rsid w:val="0081212F"/>
    <w:rsid w:val="008134C9"/>
    <w:rsid w:val="00816A36"/>
    <w:rsid w:val="008205DA"/>
    <w:rsid w:val="0082109B"/>
    <w:rsid w:val="008272B3"/>
    <w:rsid w:val="00827F03"/>
    <w:rsid w:val="0083073C"/>
    <w:rsid w:val="00834951"/>
    <w:rsid w:val="00835A48"/>
    <w:rsid w:val="00835C63"/>
    <w:rsid w:val="00836EDC"/>
    <w:rsid w:val="00844576"/>
    <w:rsid w:val="00845402"/>
    <w:rsid w:val="00845669"/>
    <w:rsid w:val="00845B10"/>
    <w:rsid w:val="00845B89"/>
    <w:rsid w:val="00846295"/>
    <w:rsid w:val="0084679E"/>
    <w:rsid w:val="00847293"/>
    <w:rsid w:val="0085006A"/>
    <w:rsid w:val="00851066"/>
    <w:rsid w:val="0085254A"/>
    <w:rsid w:val="00852A5B"/>
    <w:rsid w:val="008533FD"/>
    <w:rsid w:val="0085361D"/>
    <w:rsid w:val="00853C78"/>
    <w:rsid w:val="00855641"/>
    <w:rsid w:val="008563AA"/>
    <w:rsid w:val="00856DDF"/>
    <w:rsid w:val="0086084B"/>
    <w:rsid w:val="0086118E"/>
    <w:rsid w:val="0086177C"/>
    <w:rsid w:val="008630F0"/>
    <w:rsid w:val="008665F3"/>
    <w:rsid w:val="00867754"/>
    <w:rsid w:val="00867B0F"/>
    <w:rsid w:val="0087461C"/>
    <w:rsid w:val="00874649"/>
    <w:rsid w:val="0087512F"/>
    <w:rsid w:val="00876D94"/>
    <w:rsid w:val="00880724"/>
    <w:rsid w:val="008814C1"/>
    <w:rsid w:val="00882351"/>
    <w:rsid w:val="008835A5"/>
    <w:rsid w:val="00884FAB"/>
    <w:rsid w:val="008864F6"/>
    <w:rsid w:val="00886BC5"/>
    <w:rsid w:val="00886DC9"/>
    <w:rsid w:val="008872E6"/>
    <w:rsid w:val="0089270E"/>
    <w:rsid w:val="00893DCC"/>
    <w:rsid w:val="0089758E"/>
    <w:rsid w:val="008A0678"/>
    <w:rsid w:val="008A080B"/>
    <w:rsid w:val="008A3AF6"/>
    <w:rsid w:val="008A4BEE"/>
    <w:rsid w:val="008A741C"/>
    <w:rsid w:val="008A7E12"/>
    <w:rsid w:val="008B38AF"/>
    <w:rsid w:val="008B4083"/>
    <w:rsid w:val="008B6CDE"/>
    <w:rsid w:val="008B747B"/>
    <w:rsid w:val="008C05D1"/>
    <w:rsid w:val="008C0894"/>
    <w:rsid w:val="008D2BA5"/>
    <w:rsid w:val="008D2EA7"/>
    <w:rsid w:val="008E0CF1"/>
    <w:rsid w:val="008E2EA6"/>
    <w:rsid w:val="008E3710"/>
    <w:rsid w:val="008E405F"/>
    <w:rsid w:val="008E6211"/>
    <w:rsid w:val="008E7B5D"/>
    <w:rsid w:val="008E7C60"/>
    <w:rsid w:val="008F1355"/>
    <w:rsid w:val="008F20C5"/>
    <w:rsid w:val="008F4AE5"/>
    <w:rsid w:val="009005AA"/>
    <w:rsid w:val="009005B7"/>
    <w:rsid w:val="009011A3"/>
    <w:rsid w:val="009064E1"/>
    <w:rsid w:val="00907FF8"/>
    <w:rsid w:val="00912BBD"/>
    <w:rsid w:val="009138AF"/>
    <w:rsid w:val="009168EA"/>
    <w:rsid w:val="0092021A"/>
    <w:rsid w:val="00923427"/>
    <w:rsid w:val="00923ACB"/>
    <w:rsid w:val="00926CA2"/>
    <w:rsid w:val="009274CD"/>
    <w:rsid w:val="00932592"/>
    <w:rsid w:val="00932C73"/>
    <w:rsid w:val="00932FEB"/>
    <w:rsid w:val="0093351A"/>
    <w:rsid w:val="0093363B"/>
    <w:rsid w:val="009341D8"/>
    <w:rsid w:val="00934CE3"/>
    <w:rsid w:val="00934DCA"/>
    <w:rsid w:val="009354BA"/>
    <w:rsid w:val="0093598C"/>
    <w:rsid w:val="00935C9F"/>
    <w:rsid w:val="009364FF"/>
    <w:rsid w:val="009379FA"/>
    <w:rsid w:val="00940ED8"/>
    <w:rsid w:val="00941249"/>
    <w:rsid w:val="00941DDC"/>
    <w:rsid w:val="00943597"/>
    <w:rsid w:val="00945D33"/>
    <w:rsid w:val="009472E3"/>
    <w:rsid w:val="009511F9"/>
    <w:rsid w:val="00952566"/>
    <w:rsid w:val="00952FA9"/>
    <w:rsid w:val="00953E0E"/>
    <w:rsid w:val="009550AD"/>
    <w:rsid w:val="009574E2"/>
    <w:rsid w:val="0096040A"/>
    <w:rsid w:val="0096188B"/>
    <w:rsid w:val="009637A8"/>
    <w:rsid w:val="00963D07"/>
    <w:rsid w:val="00966E15"/>
    <w:rsid w:val="009703B0"/>
    <w:rsid w:val="00970A67"/>
    <w:rsid w:val="009717D7"/>
    <w:rsid w:val="009723D3"/>
    <w:rsid w:val="0097323C"/>
    <w:rsid w:val="00974BD1"/>
    <w:rsid w:val="00975D4F"/>
    <w:rsid w:val="009767CC"/>
    <w:rsid w:val="00977D73"/>
    <w:rsid w:val="00980E2D"/>
    <w:rsid w:val="009822AF"/>
    <w:rsid w:val="00983CAA"/>
    <w:rsid w:val="0098439A"/>
    <w:rsid w:val="0098708F"/>
    <w:rsid w:val="00991EAF"/>
    <w:rsid w:val="00994F17"/>
    <w:rsid w:val="00995B5C"/>
    <w:rsid w:val="00995D70"/>
    <w:rsid w:val="00995DF7"/>
    <w:rsid w:val="009971AF"/>
    <w:rsid w:val="009A01AE"/>
    <w:rsid w:val="009A10C1"/>
    <w:rsid w:val="009A1214"/>
    <w:rsid w:val="009A18CA"/>
    <w:rsid w:val="009A33EA"/>
    <w:rsid w:val="009A3405"/>
    <w:rsid w:val="009A4521"/>
    <w:rsid w:val="009A52E2"/>
    <w:rsid w:val="009A5874"/>
    <w:rsid w:val="009A5A48"/>
    <w:rsid w:val="009A6956"/>
    <w:rsid w:val="009A6BDF"/>
    <w:rsid w:val="009A6C24"/>
    <w:rsid w:val="009A6C73"/>
    <w:rsid w:val="009A7921"/>
    <w:rsid w:val="009B2591"/>
    <w:rsid w:val="009B7B9F"/>
    <w:rsid w:val="009C3068"/>
    <w:rsid w:val="009C4473"/>
    <w:rsid w:val="009C492E"/>
    <w:rsid w:val="009C50AB"/>
    <w:rsid w:val="009D31B5"/>
    <w:rsid w:val="009D4C58"/>
    <w:rsid w:val="009D5733"/>
    <w:rsid w:val="009D6A84"/>
    <w:rsid w:val="009E05BD"/>
    <w:rsid w:val="009E11FA"/>
    <w:rsid w:val="009E2C39"/>
    <w:rsid w:val="009E3722"/>
    <w:rsid w:val="009E3EB3"/>
    <w:rsid w:val="009E7C5E"/>
    <w:rsid w:val="009F1727"/>
    <w:rsid w:val="009F2FDB"/>
    <w:rsid w:val="009F5298"/>
    <w:rsid w:val="009F646C"/>
    <w:rsid w:val="009F742A"/>
    <w:rsid w:val="00A0044F"/>
    <w:rsid w:val="00A02950"/>
    <w:rsid w:val="00A02B46"/>
    <w:rsid w:val="00A050D9"/>
    <w:rsid w:val="00A058DC"/>
    <w:rsid w:val="00A05AFC"/>
    <w:rsid w:val="00A10B30"/>
    <w:rsid w:val="00A11829"/>
    <w:rsid w:val="00A11A6B"/>
    <w:rsid w:val="00A128A4"/>
    <w:rsid w:val="00A14290"/>
    <w:rsid w:val="00A14C3B"/>
    <w:rsid w:val="00A177C2"/>
    <w:rsid w:val="00A20026"/>
    <w:rsid w:val="00A2242C"/>
    <w:rsid w:val="00A2278F"/>
    <w:rsid w:val="00A231F5"/>
    <w:rsid w:val="00A23A22"/>
    <w:rsid w:val="00A23D5F"/>
    <w:rsid w:val="00A24AEA"/>
    <w:rsid w:val="00A24D9C"/>
    <w:rsid w:val="00A250FB"/>
    <w:rsid w:val="00A26438"/>
    <w:rsid w:val="00A270AF"/>
    <w:rsid w:val="00A27AFA"/>
    <w:rsid w:val="00A30807"/>
    <w:rsid w:val="00A32D3C"/>
    <w:rsid w:val="00A3392A"/>
    <w:rsid w:val="00A33A78"/>
    <w:rsid w:val="00A3449E"/>
    <w:rsid w:val="00A348FA"/>
    <w:rsid w:val="00A353E7"/>
    <w:rsid w:val="00A369E4"/>
    <w:rsid w:val="00A401BD"/>
    <w:rsid w:val="00A40703"/>
    <w:rsid w:val="00A41A20"/>
    <w:rsid w:val="00A42218"/>
    <w:rsid w:val="00A434C1"/>
    <w:rsid w:val="00A4422F"/>
    <w:rsid w:val="00A45E4D"/>
    <w:rsid w:val="00A47743"/>
    <w:rsid w:val="00A505C1"/>
    <w:rsid w:val="00A53217"/>
    <w:rsid w:val="00A532FF"/>
    <w:rsid w:val="00A54613"/>
    <w:rsid w:val="00A56A9D"/>
    <w:rsid w:val="00A57B5E"/>
    <w:rsid w:val="00A57F50"/>
    <w:rsid w:val="00A612C6"/>
    <w:rsid w:val="00A631E8"/>
    <w:rsid w:val="00A63BB5"/>
    <w:rsid w:val="00A67235"/>
    <w:rsid w:val="00A67C8D"/>
    <w:rsid w:val="00A7085E"/>
    <w:rsid w:val="00A729FF"/>
    <w:rsid w:val="00A72BA8"/>
    <w:rsid w:val="00A73E42"/>
    <w:rsid w:val="00A77673"/>
    <w:rsid w:val="00A80879"/>
    <w:rsid w:val="00A82B87"/>
    <w:rsid w:val="00A82EFF"/>
    <w:rsid w:val="00A83B42"/>
    <w:rsid w:val="00A843B7"/>
    <w:rsid w:val="00A843F0"/>
    <w:rsid w:val="00A85EB6"/>
    <w:rsid w:val="00A86812"/>
    <w:rsid w:val="00A870A7"/>
    <w:rsid w:val="00A905D4"/>
    <w:rsid w:val="00A9106C"/>
    <w:rsid w:val="00A95E46"/>
    <w:rsid w:val="00A9755F"/>
    <w:rsid w:val="00A978F3"/>
    <w:rsid w:val="00A97AC7"/>
    <w:rsid w:val="00A97AD2"/>
    <w:rsid w:val="00A97DB8"/>
    <w:rsid w:val="00AA14FC"/>
    <w:rsid w:val="00AA5C65"/>
    <w:rsid w:val="00AA7467"/>
    <w:rsid w:val="00AA798C"/>
    <w:rsid w:val="00AB118E"/>
    <w:rsid w:val="00AB44A7"/>
    <w:rsid w:val="00AB780E"/>
    <w:rsid w:val="00AC700F"/>
    <w:rsid w:val="00AD0C70"/>
    <w:rsid w:val="00AD1794"/>
    <w:rsid w:val="00AD2665"/>
    <w:rsid w:val="00AD266F"/>
    <w:rsid w:val="00AD2CA3"/>
    <w:rsid w:val="00AD3CC5"/>
    <w:rsid w:val="00AD4A3A"/>
    <w:rsid w:val="00AD631B"/>
    <w:rsid w:val="00AE029A"/>
    <w:rsid w:val="00AE3F4D"/>
    <w:rsid w:val="00AE5772"/>
    <w:rsid w:val="00AE6C68"/>
    <w:rsid w:val="00AE70B0"/>
    <w:rsid w:val="00AE7523"/>
    <w:rsid w:val="00AF0330"/>
    <w:rsid w:val="00AF1670"/>
    <w:rsid w:val="00AF196E"/>
    <w:rsid w:val="00AF1BEB"/>
    <w:rsid w:val="00AF281A"/>
    <w:rsid w:val="00AF3C4F"/>
    <w:rsid w:val="00AF685E"/>
    <w:rsid w:val="00AF6884"/>
    <w:rsid w:val="00AF6EA8"/>
    <w:rsid w:val="00AF701A"/>
    <w:rsid w:val="00AF725B"/>
    <w:rsid w:val="00AF75C7"/>
    <w:rsid w:val="00B0039C"/>
    <w:rsid w:val="00B0126B"/>
    <w:rsid w:val="00B01C0C"/>
    <w:rsid w:val="00B01C22"/>
    <w:rsid w:val="00B01D8E"/>
    <w:rsid w:val="00B02388"/>
    <w:rsid w:val="00B03BFE"/>
    <w:rsid w:val="00B0485C"/>
    <w:rsid w:val="00B055CA"/>
    <w:rsid w:val="00B05601"/>
    <w:rsid w:val="00B05C41"/>
    <w:rsid w:val="00B06AA0"/>
    <w:rsid w:val="00B07A09"/>
    <w:rsid w:val="00B11517"/>
    <w:rsid w:val="00B121FE"/>
    <w:rsid w:val="00B15913"/>
    <w:rsid w:val="00B167DE"/>
    <w:rsid w:val="00B2293F"/>
    <w:rsid w:val="00B259F6"/>
    <w:rsid w:val="00B26D4F"/>
    <w:rsid w:val="00B279C0"/>
    <w:rsid w:val="00B30316"/>
    <w:rsid w:val="00B3052B"/>
    <w:rsid w:val="00B30CDA"/>
    <w:rsid w:val="00B31072"/>
    <w:rsid w:val="00B3160E"/>
    <w:rsid w:val="00B328EF"/>
    <w:rsid w:val="00B353EA"/>
    <w:rsid w:val="00B35EDE"/>
    <w:rsid w:val="00B37A31"/>
    <w:rsid w:val="00B4010F"/>
    <w:rsid w:val="00B40883"/>
    <w:rsid w:val="00B410DC"/>
    <w:rsid w:val="00B42AA2"/>
    <w:rsid w:val="00B43407"/>
    <w:rsid w:val="00B4437B"/>
    <w:rsid w:val="00B4453F"/>
    <w:rsid w:val="00B44A58"/>
    <w:rsid w:val="00B44DDB"/>
    <w:rsid w:val="00B4599E"/>
    <w:rsid w:val="00B45A54"/>
    <w:rsid w:val="00B470A1"/>
    <w:rsid w:val="00B470E7"/>
    <w:rsid w:val="00B500B5"/>
    <w:rsid w:val="00B5047E"/>
    <w:rsid w:val="00B55223"/>
    <w:rsid w:val="00B5554F"/>
    <w:rsid w:val="00B55552"/>
    <w:rsid w:val="00B55E0C"/>
    <w:rsid w:val="00B5733D"/>
    <w:rsid w:val="00B61412"/>
    <w:rsid w:val="00B63AFB"/>
    <w:rsid w:val="00B63F70"/>
    <w:rsid w:val="00B64254"/>
    <w:rsid w:val="00B649EB"/>
    <w:rsid w:val="00B654EB"/>
    <w:rsid w:val="00B67D84"/>
    <w:rsid w:val="00B67F99"/>
    <w:rsid w:val="00B7276D"/>
    <w:rsid w:val="00B740C5"/>
    <w:rsid w:val="00B745E5"/>
    <w:rsid w:val="00B75572"/>
    <w:rsid w:val="00B75D86"/>
    <w:rsid w:val="00B77B10"/>
    <w:rsid w:val="00B80191"/>
    <w:rsid w:val="00B8019C"/>
    <w:rsid w:val="00B81675"/>
    <w:rsid w:val="00B82A78"/>
    <w:rsid w:val="00B82B0B"/>
    <w:rsid w:val="00B85406"/>
    <w:rsid w:val="00B8664D"/>
    <w:rsid w:val="00B9126B"/>
    <w:rsid w:val="00B9265D"/>
    <w:rsid w:val="00B94B59"/>
    <w:rsid w:val="00BA0533"/>
    <w:rsid w:val="00BA219F"/>
    <w:rsid w:val="00BA7799"/>
    <w:rsid w:val="00BA7B59"/>
    <w:rsid w:val="00BB2184"/>
    <w:rsid w:val="00BB61D0"/>
    <w:rsid w:val="00BB77D4"/>
    <w:rsid w:val="00BB7B03"/>
    <w:rsid w:val="00BC2927"/>
    <w:rsid w:val="00BC3457"/>
    <w:rsid w:val="00BC46FF"/>
    <w:rsid w:val="00BC6311"/>
    <w:rsid w:val="00BC68D6"/>
    <w:rsid w:val="00BD0792"/>
    <w:rsid w:val="00BD3589"/>
    <w:rsid w:val="00BD436F"/>
    <w:rsid w:val="00BD4F69"/>
    <w:rsid w:val="00BD70A3"/>
    <w:rsid w:val="00BD7852"/>
    <w:rsid w:val="00BE2C68"/>
    <w:rsid w:val="00BE307E"/>
    <w:rsid w:val="00BE5C57"/>
    <w:rsid w:val="00BE5D20"/>
    <w:rsid w:val="00BE5F8E"/>
    <w:rsid w:val="00BE60AA"/>
    <w:rsid w:val="00BE62A8"/>
    <w:rsid w:val="00BF0F97"/>
    <w:rsid w:val="00BF3222"/>
    <w:rsid w:val="00BF47F7"/>
    <w:rsid w:val="00BF5DDC"/>
    <w:rsid w:val="00C023DC"/>
    <w:rsid w:val="00C03888"/>
    <w:rsid w:val="00C04AD3"/>
    <w:rsid w:val="00C05218"/>
    <w:rsid w:val="00C0529E"/>
    <w:rsid w:val="00C06046"/>
    <w:rsid w:val="00C06465"/>
    <w:rsid w:val="00C1196E"/>
    <w:rsid w:val="00C13277"/>
    <w:rsid w:val="00C149D7"/>
    <w:rsid w:val="00C14C57"/>
    <w:rsid w:val="00C16E30"/>
    <w:rsid w:val="00C16FE5"/>
    <w:rsid w:val="00C173E3"/>
    <w:rsid w:val="00C17A7C"/>
    <w:rsid w:val="00C20234"/>
    <w:rsid w:val="00C248E4"/>
    <w:rsid w:val="00C2582F"/>
    <w:rsid w:val="00C262C8"/>
    <w:rsid w:val="00C2782E"/>
    <w:rsid w:val="00C27FE0"/>
    <w:rsid w:val="00C30813"/>
    <w:rsid w:val="00C31051"/>
    <w:rsid w:val="00C31DC9"/>
    <w:rsid w:val="00C3316B"/>
    <w:rsid w:val="00C36A3E"/>
    <w:rsid w:val="00C36E42"/>
    <w:rsid w:val="00C410BA"/>
    <w:rsid w:val="00C4123A"/>
    <w:rsid w:val="00C42D40"/>
    <w:rsid w:val="00C43716"/>
    <w:rsid w:val="00C43861"/>
    <w:rsid w:val="00C46186"/>
    <w:rsid w:val="00C46753"/>
    <w:rsid w:val="00C50FD7"/>
    <w:rsid w:val="00C55FBD"/>
    <w:rsid w:val="00C5634D"/>
    <w:rsid w:val="00C57661"/>
    <w:rsid w:val="00C57A98"/>
    <w:rsid w:val="00C62B89"/>
    <w:rsid w:val="00C6561E"/>
    <w:rsid w:val="00C66C02"/>
    <w:rsid w:val="00C6731C"/>
    <w:rsid w:val="00C701CD"/>
    <w:rsid w:val="00C7281C"/>
    <w:rsid w:val="00C7433D"/>
    <w:rsid w:val="00C74C35"/>
    <w:rsid w:val="00C7645E"/>
    <w:rsid w:val="00C773A3"/>
    <w:rsid w:val="00C7747F"/>
    <w:rsid w:val="00C77AD4"/>
    <w:rsid w:val="00C77BFD"/>
    <w:rsid w:val="00C77F92"/>
    <w:rsid w:val="00C80AE5"/>
    <w:rsid w:val="00C80B6B"/>
    <w:rsid w:val="00C82109"/>
    <w:rsid w:val="00C83D91"/>
    <w:rsid w:val="00C8610E"/>
    <w:rsid w:val="00C86A3E"/>
    <w:rsid w:val="00C878F0"/>
    <w:rsid w:val="00C91191"/>
    <w:rsid w:val="00C92A49"/>
    <w:rsid w:val="00C94333"/>
    <w:rsid w:val="00C97C45"/>
    <w:rsid w:val="00CA02D7"/>
    <w:rsid w:val="00CA0EB3"/>
    <w:rsid w:val="00CA2241"/>
    <w:rsid w:val="00CA2A36"/>
    <w:rsid w:val="00CA2D81"/>
    <w:rsid w:val="00CA4806"/>
    <w:rsid w:val="00CA4C4B"/>
    <w:rsid w:val="00CA669D"/>
    <w:rsid w:val="00CB119B"/>
    <w:rsid w:val="00CB4DC2"/>
    <w:rsid w:val="00CB69D5"/>
    <w:rsid w:val="00CB7EFF"/>
    <w:rsid w:val="00CC036D"/>
    <w:rsid w:val="00CC131B"/>
    <w:rsid w:val="00CC35D6"/>
    <w:rsid w:val="00CC4900"/>
    <w:rsid w:val="00CC6473"/>
    <w:rsid w:val="00CD02A2"/>
    <w:rsid w:val="00CD1F99"/>
    <w:rsid w:val="00CD28EF"/>
    <w:rsid w:val="00CD5804"/>
    <w:rsid w:val="00CD5ABC"/>
    <w:rsid w:val="00CE0EA1"/>
    <w:rsid w:val="00CE1F69"/>
    <w:rsid w:val="00CE2A5B"/>
    <w:rsid w:val="00CE2F9F"/>
    <w:rsid w:val="00CE3281"/>
    <w:rsid w:val="00CE57A6"/>
    <w:rsid w:val="00CE5B06"/>
    <w:rsid w:val="00CE6644"/>
    <w:rsid w:val="00CE73AD"/>
    <w:rsid w:val="00CF09E3"/>
    <w:rsid w:val="00CF0AFE"/>
    <w:rsid w:val="00CF1800"/>
    <w:rsid w:val="00CF25D4"/>
    <w:rsid w:val="00CF27C9"/>
    <w:rsid w:val="00CF2C67"/>
    <w:rsid w:val="00CF2CEE"/>
    <w:rsid w:val="00CF4083"/>
    <w:rsid w:val="00CF5824"/>
    <w:rsid w:val="00CF713B"/>
    <w:rsid w:val="00CF7A27"/>
    <w:rsid w:val="00D00106"/>
    <w:rsid w:val="00D00F9D"/>
    <w:rsid w:val="00D01484"/>
    <w:rsid w:val="00D01A8C"/>
    <w:rsid w:val="00D0444D"/>
    <w:rsid w:val="00D109D9"/>
    <w:rsid w:val="00D11C83"/>
    <w:rsid w:val="00D11EED"/>
    <w:rsid w:val="00D1234E"/>
    <w:rsid w:val="00D203CE"/>
    <w:rsid w:val="00D20FA7"/>
    <w:rsid w:val="00D233C4"/>
    <w:rsid w:val="00D25865"/>
    <w:rsid w:val="00D31897"/>
    <w:rsid w:val="00D336B9"/>
    <w:rsid w:val="00D34C5E"/>
    <w:rsid w:val="00D4086A"/>
    <w:rsid w:val="00D42C70"/>
    <w:rsid w:val="00D44105"/>
    <w:rsid w:val="00D444D1"/>
    <w:rsid w:val="00D45E07"/>
    <w:rsid w:val="00D46A8E"/>
    <w:rsid w:val="00D47749"/>
    <w:rsid w:val="00D478E0"/>
    <w:rsid w:val="00D47F2E"/>
    <w:rsid w:val="00D50652"/>
    <w:rsid w:val="00D53F4F"/>
    <w:rsid w:val="00D542C0"/>
    <w:rsid w:val="00D5491E"/>
    <w:rsid w:val="00D562BA"/>
    <w:rsid w:val="00D67C13"/>
    <w:rsid w:val="00D72524"/>
    <w:rsid w:val="00D72AD2"/>
    <w:rsid w:val="00D7706F"/>
    <w:rsid w:val="00D80C4E"/>
    <w:rsid w:val="00D82C5A"/>
    <w:rsid w:val="00D848A8"/>
    <w:rsid w:val="00D85866"/>
    <w:rsid w:val="00D859B0"/>
    <w:rsid w:val="00D87538"/>
    <w:rsid w:val="00D921CF"/>
    <w:rsid w:val="00D9221F"/>
    <w:rsid w:val="00D936B1"/>
    <w:rsid w:val="00D937CC"/>
    <w:rsid w:val="00DA2AF4"/>
    <w:rsid w:val="00DA2D22"/>
    <w:rsid w:val="00DA2FE9"/>
    <w:rsid w:val="00DA360E"/>
    <w:rsid w:val="00DA3D13"/>
    <w:rsid w:val="00DA428D"/>
    <w:rsid w:val="00DA441C"/>
    <w:rsid w:val="00DA5C40"/>
    <w:rsid w:val="00DA6869"/>
    <w:rsid w:val="00DA7D36"/>
    <w:rsid w:val="00DB3235"/>
    <w:rsid w:val="00DB4009"/>
    <w:rsid w:val="00DB79B0"/>
    <w:rsid w:val="00DB7E70"/>
    <w:rsid w:val="00DC0359"/>
    <w:rsid w:val="00DC1CE2"/>
    <w:rsid w:val="00DC21B9"/>
    <w:rsid w:val="00DC2932"/>
    <w:rsid w:val="00DC33C9"/>
    <w:rsid w:val="00DC3654"/>
    <w:rsid w:val="00DC5711"/>
    <w:rsid w:val="00DC7F75"/>
    <w:rsid w:val="00DD0007"/>
    <w:rsid w:val="00DD3BDF"/>
    <w:rsid w:val="00DE0927"/>
    <w:rsid w:val="00DE2DF3"/>
    <w:rsid w:val="00DE30F6"/>
    <w:rsid w:val="00DE3840"/>
    <w:rsid w:val="00DE7AEA"/>
    <w:rsid w:val="00DE7E0E"/>
    <w:rsid w:val="00DF1849"/>
    <w:rsid w:val="00DF3ADE"/>
    <w:rsid w:val="00DF3BD9"/>
    <w:rsid w:val="00E00FD5"/>
    <w:rsid w:val="00E017EE"/>
    <w:rsid w:val="00E048EC"/>
    <w:rsid w:val="00E04E8E"/>
    <w:rsid w:val="00E078BD"/>
    <w:rsid w:val="00E14B6B"/>
    <w:rsid w:val="00E16F89"/>
    <w:rsid w:val="00E16FBC"/>
    <w:rsid w:val="00E17D42"/>
    <w:rsid w:val="00E20033"/>
    <w:rsid w:val="00E20726"/>
    <w:rsid w:val="00E2240C"/>
    <w:rsid w:val="00E24AB7"/>
    <w:rsid w:val="00E25357"/>
    <w:rsid w:val="00E26868"/>
    <w:rsid w:val="00E3106D"/>
    <w:rsid w:val="00E331FB"/>
    <w:rsid w:val="00E33BD0"/>
    <w:rsid w:val="00E34677"/>
    <w:rsid w:val="00E356E5"/>
    <w:rsid w:val="00E35A91"/>
    <w:rsid w:val="00E36AF3"/>
    <w:rsid w:val="00E4042C"/>
    <w:rsid w:val="00E404F7"/>
    <w:rsid w:val="00E41318"/>
    <w:rsid w:val="00E41729"/>
    <w:rsid w:val="00E41DEA"/>
    <w:rsid w:val="00E45C3D"/>
    <w:rsid w:val="00E46F9E"/>
    <w:rsid w:val="00E47102"/>
    <w:rsid w:val="00E4714B"/>
    <w:rsid w:val="00E47DF6"/>
    <w:rsid w:val="00E539C0"/>
    <w:rsid w:val="00E5473A"/>
    <w:rsid w:val="00E56BF5"/>
    <w:rsid w:val="00E6206D"/>
    <w:rsid w:val="00E65503"/>
    <w:rsid w:val="00E67021"/>
    <w:rsid w:val="00E6745F"/>
    <w:rsid w:val="00E70E07"/>
    <w:rsid w:val="00E70E3D"/>
    <w:rsid w:val="00E713B1"/>
    <w:rsid w:val="00E7243D"/>
    <w:rsid w:val="00E72B94"/>
    <w:rsid w:val="00E740D7"/>
    <w:rsid w:val="00E7433C"/>
    <w:rsid w:val="00E7632A"/>
    <w:rsid w:val="00E82041"/>
    <w:rsid w:val="00E84EB1"/>
    <w:rsid w:val="00E85531"/>
    <w:rsid w:val="00E85979"/>
    <w:rsid w:val="00E873F8"/>
    <w:rsid w:val="00E87BFC"/>
    <w:rsid w:val="00E904C6"/>
    <w:rsid w:val="00E90C08"/>
    <w:rsid w:val="00E90EFF"/>
    <w:rsid w:val="00E91B56"/>
    <w:rsid w:val="00E92E05"/>
    <w:rsid w:val="00E93CCC"/>
    <w:rsid w:val="00E93DCA"/>
    <w:rsid w:val="00E94213"/>
    <w:rsid w:val="00E946EC"/>
    <w:rsid w:val="00E94E54"/>
    <w:rsid w:val="00E955CF"/>
    <w:rsid w:val="00E956D8"/>
    <w:rsid w:val="00EA0495"/>
    <w:rsid w:val="00EA1F22"/>
    <w:rsid w:val="00EA1F23"/>
    <w:rsid w:val="00EA2E7F"/>
    <w:rsid w:val="00EB04CE"/>
    <w:rsid w:val="00EB25DE"/>
    <w:rsid w:val="00EB3A30"/>
    <w:rsid w:val="00EB5A4A"/>
    <w:rsid w:val="00EB6A37"/>
    <w:rsid w:val="00EB6D7D"/>
    <w:rsid w:val="00EC0738"/>
    <w:rsid w:val="00EC0B80"/>
    <w:rsid w:val="00EC178F"/>
    <w:rsid w:val="00EC182C"/>
    <w:rsid w:val="00EC1C89"/>
    <w:rsid w:val="00EC2E0B"/>
    <w:rsid w:val="00EC2FD5"/>
    <w:rsid w:val="00EC3BA9"/>
    <w:rsid w:val="00EC3D45"/>
    <w:rsid w:val="00EC68BA"/>
    <w:rsid w:val="00EC6B73"/>
    <w:rsid w:val="00EC7106"/>
    <w:rsid w:val="00EC7308"/>
    <w:rsid w:val="00ED389C"/>
    <w:rsid w:val="00ED4988"/>
    <w:rsid w:val="00ED5E58"/>
    <w:rsid w:val="00ED6971"/>
    <w:rsid w:val="00EE02AB"/>
    <w:rsid w:val="00EE131D"/>
    <w:rsid w:val="00EE2B2B"/>
    <w:rsid w:val="00EE2BAC"/>
    <w:rsid w:val="00EE37FB"/>
    <w:rsid w:val="00EE3889"/>
    <w:rsid w:val="00EE40FB"/>
    <w:rsid w:val="00EE5237"/>
    <w:rsid w:val="00EE6003"/>
    <w:rsid w:val="00EE68E4"/>
    <w:rsid w:val="00EF1166"/>
    <w:rsid w:val="00EF1192"/>
    <w:rsid w:val="00EF13B1"/>
    <w:rsid w:val="00EF322D"/>
    <w:rsid w:val="00EF3458"/>
    <w:rsid w:val="00EF39EA"/>
    <w:rsid w:val="00EF41C0"/>
    <w:rsid w:val="00EF5E7F"/>
    <w:rsid w:val="00EF60DD"/>
    <w:rsid w:val="00EF7B31"/>
    <w:rsid w:val="00F00631"/>
    <w:rsid w:val="00F029F7"/>
    <w:rsid w:val="00F02CE3"/>
    <w:rsid w:val="00F051DC"/>
    <w:rsid w:val="00F0558A"/>
    <w:rsid w:val="00F058F6"/>
    <w:rsid w:val="00F05F83"/>
    <w:rsid w:val="00F10967"/>
    <w:rsid w:val="00F12548"/>
    <w:rsid w:val="00F12B3D"/>
    <w:rsid w:val="00F13638"/>
    <w:rsid w:val="00F146DC"/>
    <w:rsid w:val="00F15093"/>
    <w:rsid w:val="00F1536E"/>
    <w:rsid w:val="00F159C3"/>
    <w:rsid w:val="00F22DD2"/>
    <w:rsid w:val="00F23496"/>
    <w:rsid w:val="00F31568"/>
    <w:rsid w:val="00F3326C"/>
    <w:rsid w:val="00F343C2"/>
    <w:rsid w:val="00F3743A"/>
    <w:rsid w:val="00F4413D"/>
    <w:rsid w:val="00F458C6"/>
    <w:rsid w:val="00F50CF0"/>
    <w:rsid w:val="00F517BF"/>
    <w:rsid w:val="00F53ABC"/>
    <w:rsid w:val="00F60509"/>
    <w:rsid w:val="00F60519"/>
    <w:rsid w:val="00F607C4"/>
    <w:rsid w:val="00F6097C"/>
    <w:rsid w:val="00F60E23"/>
    <w:rsid w:val="00F63686"/>
    <w:rsid w:val="00F63BAE"/>
    <w:rsid w:val="00F71745"/>
    <w:rsid w:val="00F7243B"/>
    <w:rsid w:val="00F72C6D"/>
    <w:rsid w:val="00F74018"/>
    <w:rsid w:val="00F74CB3"/>
    <w:rsid w:val="00F80631"/>
    <w:rsid w:val="00F83140"/>
    <w:rsid w:val="00F859F1"/>
    <w:rsid w:val="00F85C51"/>
    <w:rsid w:val="00F91669"/>
    <w:rsid w:val="00F970FA"/>
    <w:rsid w:val="00F97DDC"/>
    <w:rsid w:val="00FA214E"/>
    <w:rsid w:val="00FA3041"/>
    <w:rsid w:val="00FA3852"/>
    <w:rsid w:val="00FA4E3A"/>
    <w:rsid w:val="00FA5831"/>
    <w:rsid w:val="00FB1382"/>
    <w:rsid w:val="00FB1C05"/>
    <w:rsid w:val="00FB30F1"/>
    <w:rsid w:val="00FB341D"/>
    <w:rsid w:val="00FB537F"/>
    <w:rsid w:val="00FB76AF"/>
    <w:rsid w:val="00FC2947"/>
    <w:rsid w:val="00FC2E69"/>
    <w:rsid w:val="00FC363A"/>
    <w:rsid w:val="00FC3EE6"/>
    <w:rsid w:val="00FC4558"/>
    <w:rsid w:val="00FC4F75"/>
    <w:rsid w:val="00FC6E16"/>
    <w:rsid w:val="00FD023F"/>
    <w:rsid w:val="00FD10DC"/>
    <w:rsid w:val="00FD1796"/>
    <w:rsid w:val="00FD5A7F"/>
    <w:rsid w:val="00FD6AD2"/>
    <w:rsid w:val="00FE06AD"/>
    <w:rsid w:val="00FE467E"/>
    <w:rsid w:val="00FE4C0F"/>
    <w:rsid w:val="00FE4E38"/>
    <w:rsid w:val="00FE5366"/>
    <w:rsid w:val="00FE590A"/>
    <w:rsid w:val="00FE61D6"/>
    <w:rsid w:val="00FE67AB"/>
    <w:rsid w:val="00FE76A5"/>
    <w:rsid w:val="00FF0A09"/>
    <w:rsid w:val="00FF376D"/>
    <w:rsid w:val="00FF6BC3"/>
    <w:rsid w:val="00FF7B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A6BA22E"/>
  <w15:chartTrackingRefBased/>
  <w15:docId w15:val="{09EFFE14-B081-41BF-AACE-8FEE3C064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0AFE"/>
    <w:pPr>
      <w:spacing w:before="90" w:after="130" w:line="280" w:lineRule="atLeast"/>
    </w:pPr>
    <w:rPr>
      <w:rFonts w:ascii="Arial Narrow" w:hAnsi="Arial Narrow" w:cs="Arial"/>
    </w:rPr>
  </w:style>
  <w:style w:type="paragraph" w:styleId="Heading1">
    <w:name w:val="heading 1"/>
    <w:basedOn w:val="Heading1nonumber"/>
    <w:next w:val="Introduction"/>
    <w:link w:val="Heading1Char"/>
    <w:uiPriority w:val="9"/>
    <w:qFormat/>
    <w:rsid w:val="00DE7AEA"/>
    <w:pPr>
      <w:keepLines/>
      <w:numPr>
        <w:numId w:val="36"/>
      </w:numPr>
      <w:outlineLvl w:val="0"/>
    </w:pPr>
    <w:rPr>
      <w:rFonts w:eastAsiaTheme="majorEastAsia"/>
      <w:szCs w:val="32"/>
    </w:rPr>
  </w:style>
  <w:style w:type="paragraph" w:styleId="Heading2">
    <w:name w:val="heading 2"/>
    <w:basedOn w:val="Heading2nonumber"/>
    <w:next w:val="BodyText"/>
    <w:link w:val="Heading2Char"/>
    <w:uiPriority w:val="9"/>
    <w:unhideWhenUsed/>
    <w:qFormat/>
    <w:rsid w:val="00DE7AEA"/>
    <w:pPr>
      <w:keepLines/>
      <w:numPr>
        <w:numId w:val="36"/>
      </w:numPr>
      <w:pBdr>
        <w:between w:val="single" w:sz="4" w:space="1" w:color="6C3E99"/>
      </w:pBdr>
      <w:ind w:left="792"/>
      <w:outlineLvl w:val="1"/>
    </w:pPr>
    <w:rPr>
      <w:rFonts w:eastAsiaTheme="majorEastAsia"/>
      <w:szCs w:val="26"/>
    </w:rPr>
  </w:style>
  <w:style w:type="paragraph" w:styleId="Heading3">
    <w:name w:val="heading 3"/>
    <w:basedOn w:val="Heading3nonumber"/>
    <w:next w:val="BodyText"/>
    <w:link w:val="Heading3Char"/>
    <w:uiPriority w:val="9"/>
    <w:unhideWhenUsed/>
    <w:qFormat/>
    <w:rsid w:val="00DE7AEA"/>
    <w:pPr>
      <w:keepLines/>
      <w:numPr>
        <w:numId w:val="36"/>
      </w:numPr>
      <w:pBdr>
        <w:between w:val="single" w:sz="4" w:space="1" w:color="000100"/>
      </w:pBdr>
      <w:outlineLvl w:val="2"/>
    </w:pPr>
    <w:rPr>
      <w:rFonts w:eastAsiaTheme="majorEastAsia"/>
      <w:szCs w:val="24"/>
    </w:rPr>
  </w:style>
  <w:style w:type="paragraph" w:styleId="Heading4">
    <w:name w:val="heading 4"/>
    <w:basedOn w:val="Heading4nonumber"/>
    <w:next w:val="BodyText"/>
    <w:link w:val="Heading4Char"/>
    <w:uiPriority w:val="9"/>
    <w:unhideWhenUsed/>
    <w:qFormat/>
    <w:rsid w:val="00DE7AEA"/>
    <w:pPr>
      <w:keepLines/>
      <w:numPr>
        <w:numId w:val="36"/>
      </w:numPr>
      <w:outlineLvl w:val="3"/>
    </w:pPr>
    <w:rPr>
      <w:rFonts w:eastAsiaTheme="majorEastAsia"/>
      <w:iCs/>
    </w:rPr>
  </w:style>
  <w:style w:type="paragraph" w:styleId="Heading5">
    <w:name w:val="heading 5"/>
    <w:basedOn w:val="Heading5nonumber"/>
    <w:next w:val="BodyText"/>
    <w:link w:val="Heading5Char"/>
    <w:uiPriority w:val="9"/>
    <w:unhideWhenUsed/>
    <w:qFormat/>
    <w:rsid w:val="00DE7AEA"/>
    <w:pPr>
      <w:numPr>
        <w:numId w:val="36"/>
      </w:numPr>
      <w:outlineLvl w:val="4"/>
    </w:pPr>
  </w:style>
  <w:style w:type="paragraph" w:styleId="Heading6">
    <w:name w:val="heading 6"/>
    <w:basedOn w:val="Heading1nonumber"/>
    <w:next w:val="Introduction"/>
    <w:link w:val="Heading6Char"/>
    <w:uiPriority w:val="9"/>
    <w:unhideWhenUsed/>
    <w:qFormat/>
    <w:rsid w:val="008D2BA5"/>
    <w:pPr>
      <w:keepLines/>
      <w:numPr>
        <w:numId w:val="37"/>
      </w:numPr>
      <w:outlineLvl w:val="5"/>
    </w:pPr>
    <w:rPr>
      <w:rFonts w:eastAsiaTheme="majorEastAsia"/>
    </w:rPr>
  </w:style>
  <w:style w:type="paragraph" w:styleId="Heading7">
    <w:name w:val="heading 7"/>
    <w:basedOn w:val="Heading2nonumber"/>
    <w:next w:val="BodyText"/>
    <w:link w:val="Heading7Char"/>
    <w:uiPriority w:val="9"/>
    <w:unhideWhenUsed/>
    <w:qFormat/>
    <w:rsid w:val="008D2BA5"/>
    <w:pPr>
      <w:keepLines/>
      <w:numPr>
        <w:numId w:val="37"/>
      </w:numPr>
      <w:contextualSpacing/>
      <w:outlineLvl w:val="6"/>
    </w:pPr>
    <w:rPr>
      <w:rFonts w:eastAsiaTheme="majorEastAsia"/>
      <w:iCs/>
      <w:color w:val="6C3F99"/>
    </w:rPr>
  </w:style>
  <w:style w:type="paragraph" w:styleId="Heading8">
    <w:name w:val="heading 8"/>
    <w:basedOn w:val="Heading3nonumber"/>
    <w:next w:val="BodyText"/>
    <w:link w:val="Heading8Char"/>
    <w:uiPriority w:val="9"/>
    <w:qFormat/>
    <w:rsid w:val="008D2BA5"/>
    <w:pPr>
      <w:keepLines/>
      <w:numPr>
        <w:numId w:val="37"/>
      </w:numPr>
      <w:pBdr>
        <w:between w:val="single" w:sz="4" w:space="1" w:color="6C3E99"/>
      </w:pBdr>
      <w:contextualSpacing/>
      <w:outlineLvl w:val="7"/>
    </w:pPr>
    <w:rPr>
      <w:rFonts w:eastAsiaTheme="majorEastAsia"/>
      <w:szCs w:val="21"/>
    </w:rPr>
  </w:style>
  <w:style w:type="paragraph" w:styleId="Heading9">
    <w:name w:val="heading 9"/>
    <w:basedOn w:val="Heading4nonumber"/>
    <w:next w:val="BodyText"/>
    <w:link w:val="Heading9Char"/>
    <w:uiPriority w:val="9"/>
    <w:qFormat/>
    <w:rsid w:val="008D2BA5"/>
    <w:pPr>
      <w:keepLines/>
      <w:numPr>
        <w:numId w:val="37"/>
      </w:numPr>
      <w:pBdr>
        <w:between w:val="single" w:sz="4" w:space="1" w:color="auto"/>
      </w:pBdr>
      <w:outlineLvl w:val="8"/>
    </w:pPr>
    <w:rPr>
      <w:rFonts w:eastAsiaTheme="majorEastAsia"/>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4DC2"/>
    <w:rPr>
      <w:rFonts w:ascii="Yu Gothic Medium" w:eastAsiaTheme="majorEastAsia" w:hAnsi="Yu Gothic Medium" w:cs="Arial"/>
      <w:color w:val="140034"/>
      <w:sz w:val="56"/>
      <w:szCs w:val="32"/>
    </w:rPr>
  </w:style>
  <w:style w:type="character" w:customStyle="1" w:styleId="Heading2Char">
    <w:name w:val="Heading 2 Char"/>
    <w:basedOn w:val="DefaultParagraphFont"/>
    <w:link w:val="Heading2"/>
    <w:uiPriority w:val="9"/>
    <w:rsid w:val="00591A9A"/>
    <w:rPr>
      <w:rFonts w:ascii="Yu Gothic Medium" w:eastAsiaTheme="majorEastAsia" w:hAnsi="Yu Gothic Medium" w:cs="Arial"/>
      <w:color w:val="6C3E99"/>
      <w:sz w:val="36"/>
      <w:szCs w:val="26"/>
    </w:rPr>
  </w:style>
  <w:style w:type="character" w:customStyle="1" w:styleId="Heading3Char">
    <w:name w:val="Heading 3 Char"/>
    <w:basedOn w:val="DefaultParagraphFont"/>
    <w:link w:val="Heading3"/>
    <w:uiPriority w:val="9"/>
    <w:rsid w:val="0085006A"/>
    <w:rPr>
      <w:rFonts w:ascii="Yu Gothic Medium" w:eastAsiaTheme="majorEastAsia" w:hAnsi="Yu Gothic Medium" w:cs="Arial"/>
      <w:b/>
      <w:sz w:val="32"/>
      <w:szCs w:val="24"/>
    </w:rPr>
  </w:style>
  <w:style w:type="character" w:customStyle="1" w:styleId="Heading4Char">
    <w:name w:val="Heading 4 Char"/>
    <w:basedOn w:val="DefaultParagraphFont"/>
    <w:link w:val="Heading4"/>
    <w:uiPriority w:val="9"/>
    <w:rsid w:val="00E41DEA"/>
    <w:rPr>
      <w:rFonts w:ascii="Yu Gothic" w:eastAsiaTheme="majorEastAsia" w:hAnsi="Yu Gothic" w:cs="Arial"/>
      <w:b/>
      <w:iCs/>
      <w:sz w:val="24"/>
    </w:rPr>
  </w:style>
  <w:style w:type="character" w:customStyle="1" w:styleId="Heading5Char">
    <w:name w:val="Heading 5 Char"/>
    <w:basedOn w:val="DefaultParagraphFont"/>
    <w:link w:val="Heading5"/>
    <w:uiPriority w:val="9"/>
    <w:rsid w:val="001731E6"/>
    <w:rPr>
      <w:rFonts w:ascii="Yu Gothic" w:eastAsia="Yu Gothic" w:hAnsi="Yu Gothic" w:cs="Arial"/>
      <w:b/>
      <w:i/>
      <w:color w:val="000100"/>
      <w:sz w:val="24"/>
    </w:rPr>
  </w:style>
  <w:style w:type="character" w:customStyle="1" w:styleId="Heading6Char">
    <w:name w:val="Heading 6 Char"/>
    <w:basedOn w:val="DefaultParagraphFont"/>
    <w:link w:val="Heading6"/>
    <w:uiPriority w:val="9"/>
    <w:rsid w:val="00A82B87"/>
    <w:rPr>
      <w:rFonts w:ascii="Yu Gothic Medium" w:eastAsiaTheme="majorEastAsia" w:hAnsi="Yu Gothic Medium" w:cs="Arial"/>
      <w:color w:val="140034"/>
      <w:sz w:val="56"/>
    </w:rPr>
  </w:style>
  <w:style w:type="character" w:customStyle="1" w:styleId="Heading7Char">
    <w:name w:val="Heading 7 Char"/>
    <w:basedOn w:val="DefaultParagraphFont"/>
    <w:link w:val="Heading7"/>
    <w:uiPriority w:val="9"/>
    <w:rsid w:val="009717D7"/>
    <w:rPr>
      <w:rFonts w:ascii="Yu Gothic Medium" w:eastAsiaTheme="majorEastAsia" w:hAnsi="Yu Gothic Medium" w:cs="Arial"/>
      <w:iCs/>
      <w:color w:val="6C3F99"/>
      <w:sz w:val="36"/>
    </w:rPr>
  </w:style>
  <w:style w:type="character" w:customStyle="1" w:styleId="Heading8Char">
    <w:name w:val="Heading 8 Char"/>
    <w:basedOn w:val="DefaultParagraphFont"/>
    <w:link w:val="Heading8"/>
    <w:uiPriority w:val="9"/>
    <w:rsid w:val="009717D7"/>
    <w:rPr>
      <w:rFonts w:ascii="Yu Gothic Medium" w:eastAsiaTheme="majorEastAsia" w:hAnsi="Yu Gothic Medium" w:cs="Arial"/>
      <w:b/>
      <w:sz w:val="32"/>
      <w:szCs w:val="21"/>
    </w:rPr>
  </w:style>
  <w:style w:type="character" w:customStyle="1" w:styleId="Heading9Char">
    <w:name w:val="Heading 9 Char"/>
    <w:basedOn w:val="DefaultParagraphFont"/>
    <w:link w:val="Heading9"/>
    <w:uiPriority w:val="9"/>
    <w:rsid w:val="00D921CF"/>
    <w:rPr>
      <w:rFonts w:ascii="Yu Gothic" w:eastAsiaTheme="majorEastAsia" w:hAnsi="Yu Gothic" w:cs="Arial"/>
      <w:b/>
      <w:iCs/>
      <w:sz w:val="24"/>
      <w:szCs w:val="21"/>
    </w:rPr>
  </w:style>
  <w:style w:type="paragraph" w:styleId="BalloonText">
    <w:name w:val="Balloon Text"/>
    <w:basedOn w:val="Normal"/>
    <w:link w:val="BalloonTextChar"/>
    <w:uiPriority w:val="99"/>
    <w:semiHidden/>
    <w:unhideWhenUsed/>
    <w:rsid w:val="009637A8"/>
    <w:pPr>
      <w:spacing w:after="0"/>
    </w:pPr>
    <w:rPr>
      <w:sz w:val="18"/>
      <w:szCs w:val="18"/>
    </w:rPr>
  </w:style>
  <w:style w:type="character" w:customStyle="1" w:styleId="BalloonTextChar">
    <w:name w:val="Balloon Text Char"/>
    <w:basedOn w:val="DefaultParagraphFont"/>
    <w:link w:val="BalloonText"/>
    <w:uiPriority w:val="99"/>
    <w:semiHidden/>
    <w:rsid w:val="009637A8"/>
    <w:rPr>
      <w:rFonts w:ascii="Arial" w:hAnsi="Arial" w:cs="Arial"/>
      <w:sz w:val="18"/>
      <w:szCs w:val="18"/>
    </w:rPr>
  </w:style>
  <w:style w:type="paragraph" w:styleId="Bibliography">
    <w:name w:val="Bibliography"/>
    <w:basedOn w:val="Normal"/>
    <w:next w:val="Normal"/>
    <w:uiPriority w:val="37"/>
    <w:semiHidden/>
    <w:unhideWhenUsed/>
    <w:rsid w:val="009637A8"/>
    <w:pPr>
      <w:spacing w:after="160" w:line="259" w:lineRule="auto"/>
    </w:pPr>
  </w:style>
  <w:style w:type="paragraph" w:styleId="BlockText">
    <w:name w:val="Block Text"/>
    <w:basedOn w:val="Normal"/>
    <w:uiPriority w:val="99"/>
    <w:semiHidden/>
    <w:unhideWhenUsed/>
    <w:rsid w:val="009637A8"/>
    <w:pPr>
      <w:pBdr>
        <w:top w:val="single" w:sz="2" w:space="10" w:color="9D85BE" w:themeColor="accent1"/>
        <w:left w:val="single" w:sz="2" w:space="10" w:color="9D85BE" w:themeColor="accent1"/>
        <w:bottom w:val="single" w:sz="2" w:space="10" w:color="9D85BE" w:themeColor="accent1"/>
        <w:right w:val="single" w:sz="2" w:space="10" w:color="9D85BE" w:themeColor="accent1"/>
      </w:pBdr>
      <w:spacing w:after="160" w:line="259" w:lineRule="auto"/>
      <w:ind w:left="1152" w:right="1152"/>
    </w:pPr>
    <w:rPr>
      <w:rFonts w:eastAsiaTheme="minorEastAsia"/>
      <w:i/>
      <w:iCs/>
      <w:color w:val="9D85BE" w:themeColor="accent1"/>
    </w:rPr>
  </w:style>
  <w:style w:type="paragraph" w:styleId="BodyText">
    <w:name w:val="Body Text"/>
    <w:aliases w:val="Body Text Char1,Body Text Char Char,Body Text Char2,Body Text Char2 Char Char1 Char,Body Text Char1 Char Char Char Char,Body Text Char2 Char Char1 Char Char Char Char Char,Body Text Char11 Char,Body Text Char Char1 Char,Body Text Char Char1,b"/>
    <w:basedOn w:val="Normal"/>
    <w:link w:val="BodyTextChar"/>
    <w:uiPriority w:val="99"/>
    <w:qFormat/>
    <w:rsid w:val="00DF3BD9"/>
  </w:style>
  <w:style w:type="character" w:customStyle="1" w:styleId="BodyTextChar">
    <w:name w:val="Body Text Char"/>
    <w:aliases w:val="Body Text Char1 Char,Body Text Char Char Char,Body Text Char2 Char,Body Text Char2 Char Char1 Char Char,Body Text Char1 Char Char Char Char Char,Body Text Char2 Char Char1 Char Char Char Char Char Char,Body Text Char11 Char Char,b Char"/>
    <w:basedOn w:val="DefaultParagraphFont"/>
    <w:link w:val="BodyText"/>
    <w:uiPriority w:val="99"/>
    <w:rsid w:val="00DF3BD9"/>
    <w:rPr>
      <w:rFonts w:ascii="Arial Narrow" w:hAnsi="Arial Narrow" w:cs="Arial"/>
    </w:rPr>
  </w:style>
  <w:style w:type="paragraph" w:styleId="BodyText2">
    <w:name w:val="Body Text 2"/>
    <w:basedOn w:val="BodyText"/>
    <w:link w:val="BodyText2Char"/>
    <w:uiPriority w:val="99"/>
    <w:unhideWhenUsed/>
    <w:rsid w:val="00731030"/>
    <w:pPr>
      <w:spacing w:line="180" w:lineRule="auto"/>
    </w:pPr>
    <w:rPr>
      <w:rFonts w:ascii="Yu Gothic Medium" w:eastAsia="Yu Gothic Medium" w:hAnsi="Yu Gothic Medium"/>
      <w:spacing w:val="-14"/>
      <w:sz w:val="21"/>
    </w:rPr>
  </w:style>
  <w:style w:type="character" w:customStyle="1" w:styleId="BodyText2Char">
    <w:name w:val="Body Text 2 Char"/>
    <w:basedOn w:val="DefaultParagraphFont"/>
    <w:link w:val="BodyText2"/>
    <w:uiPriority w:val="99"/>
    <w:rsid w:val="00731030"/>
    <w:rPr>
      <w:rFonts w:ascii="Yu Gothic Medium" w:eastAsia="Yu Gothic Medium" w:hAnsi="Yu Gothic Medium" w:cs="Arial"/>
      <w:spacing w:val="-14"/>
      <w:sz w:val="21"/>
    </w:rPr>
  </w:style>
  <w:style w:type="paragraph" w:styleId="BodyText3">
    <w:name w:val="Body Text 3"/>
    <w:basedOn w:val="Normal"/>
    <w:link w:val="BodyText3Char"/>
    <w:uiPriority w:val="99"/>
    <w:unhideWhenUsed/>
    <w:rsid w:val="00437438"/>
    <w:pPr>
      <w:spacing w:before="0" w:after="0" w:line="320" w:lineRule="atLeast"/>
    </w:pPr>
    <w:rPr>
      <w:rFonts w:ascii="Yu Gothic Medium" w:hAnsi="Yu Gothic Medium"/>
      <w:sz w:val="18"/>
      <w:szCs w:val="16"/>
    </w:rPr>
  </w:style>
  <w:style w:type="character" w:customStyle="1" w:styleId="BodyText3Char">
    <w:name w:val="Body Text 3 Char"/>
    <w:basedOn w:val="DefaultParagraphFont"/>
    <w:link w:val="BodyText3"/>
    <w:uiPriority w:val="99"/>
    <w:rsid w:val="00437438"/>
    <w:rPr>
      <w:rFonts w:ascii="Yu Gothic Medium" w:hAnsi="Yu Gothic Medium" w:cs="Arial"/>
      <w:sz w:val="18"/>
      <w:szCs w:val="16"/>
    </w:rPr>
  </w:style>
  <w:style w:type="paragraph" w:styleId="BodyTextFirstIndent">
    <w:name w:val="Body Text First Indent"/>
    <w:basedOn w:val="BodyText"/>
    <w:link w:val="BodyTextFirstIndentChar"/>
    <w:uiPriority w:val="99"/>
    <w:semiHidden/>
    <w:unhideWhenUsed/>
    <w:rsid w:val="009637A8"/>
    <w:pPr>
      <w:spacing w:after="160"/>
      <w:ind w:firstLine="360"/>
    </w:pPr>
  </w:style>
  <w:style w:type="character" w:customStyle="1" w:styleId="BodyTextFirstIndentChar">
    <w:name w:val="Body Text First Indent Char"/>
    <w:basedOn w:val="BodyTextChar"/>
    <w:link w:val="BodyTextFirstIndent"/>
    <w:uiPriority w:val="99"/>
    <w:semiHidden/>
    <w:rsid w:val="009637A8"/>
    <w:rPr>
      <w:rFonts w:ascii="Arial" w:hAnsi="Arial" w:cs="Arial"/>
    </w:rPr>
  </w:style>
  <w:style w:type="paragraph" w:styleId="BodyTextIndent">
    <w:name w:val="Body Text Indent"/>
    <w:basedOn w:val="Normal"/>
    <w:link w:val="BodyTextIndentChar"/>
    <w:uiPriority w:val="99"/>
    <w:semiHidden/>
    <w:unhideWhenUsed/>
    <w:rsid w:val="009637A8"/>
    <w:pPr>
      <w:spacing w:line="259" w:lineRule="auto"/>
      <w:ind w:left="283"/>
    </w:pPr>
  </w:style>
  <w:style w:type="character" w:customStyle="1" w:styleId="BodyTextIndentChar">
    <w:name w:val="Body Text Indent Char"/>
    <w:basedOn w:val="DefaultParagraphFont"/>
    <w:link w:val="BodyTextIndent"/>
    <w:uiPriority w:val="99"/>
    <w:semiHidden/>
    <w:rsid w:val="009637A8"/>
    <w:rPr>
      <w:rFonts w:ascii="Arial" w:hAnsi="Arial" w:cs="Arial"/>
    </w:rPr>
  </w:style>
  <w:style w:type="paragraph" w:styleId="BodyTextFirstIndent2">
    <w:name w:val="Body Text First Indent 2"/>
    <w:basedOn w:val="BodyTextIndent"/>
    <w:link w:val="BodyTextFirstIndent2Char"/>
    <w:uiPriority w:val="99"/>
    <w:semiHidden/>
    <w:unhideWhenUsed/>
    <w:rsid w:val="009637A8"/>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9637A8"/>
    <w:rPr>
      <w:rFonts w:ascii="Arial" w:hAnsi="Arial" w:cs="Arial"/>
    </w:rPr>
  </w:style>
  <w:style w:type="paragraph" w:styleId="BodyTextIndent2">
    <w:name w:val="Body Text Indent 2"/>
    <w:basedOn w:val="Normal"/>
    <w:link w:val="BodyTextIndent2Char"/>
    <w:uiPriority w:val="99"/>
    <w:semiHidden/>
    <w:unhideWhenUsed/>
    <w:rsid w:val="009637A8"/>
    <w:pPr>
      <w:spacing w:line="480" w:lineRule="auto"/>
      <w:ind w:left="283"/>
    </w:pPr>
  </w:style>
  <w:style w:type="character" w:customStyle="1" w:styleId="BodyTextIndent2Char">
    <w:name w:val="Body Text Indent 2 Char"/>
    <w:basedOn w:val="DefaultParagraphFont"/>
    <w:link w:val="BodyTextIndent2"/>
    <w:uiPriority w:val="99"/>
    <w:semiHidden/>
    <w:rsid w:val="009637A8"/>
    <w:rPr>
      <w:rFonts w:ascii="Arial" w:hAnsi="Arial" w:cs="Arial"/>
    </w:rPr>
  </w:style>
  <w:style w:type="paragraph" w:styleId="BodyTextIndent3">
    <w:name w:val="Body Text Indent 3"/>
    <w:basedOn w:val="Normal"/>
    <w:link w:val="BodyTextIndent3Char"/>
    <w:uiPriority w:val="99"/>
    <w:semiHidden/>
    <w:unhideWhenUsed/>
    <w:rsid w:val="009637A8"/>
    <w:pPr>
      <w:spacing w:line="259" w:lineRule="auto"/>
      <w:ind w:left="283"/>
    </w:pPr>
    <w:rPr>
      <w:sz w:val="16"/>
      <w:szCs w:val="16"/>
    </w:rPr>
  </w:style>
  <w:style w:type="character" w:customStyle="1" w:styleId="BodyTextIndent3Char">
    <w:name w:val="Body Text Indent 3 Char"/>
    <w:basedOn w:val="DefaultParagraphFont"/>
    <w:link w:val="BodyTextIndent3"/>
    <w:uiPriority w:val="99"/>
    <w:semiHidden/>
    <w:rsid w:val="009637A8"/>
    <w:rPr>
      <w:rFonts w:ascii="Arial" w:hAnsi="Arial" w:cs="Arial"/>
      <w:sz w:val="16"/>
      <w:szCs w:val="16"/>
    </w:rPr>
  </w:style>
  <w:style w:type="character" w:styleId="BookTitle">
    <w:name w:val="Book Title"/>
    <w:basedOn w:val="DefaultParagraphFont"/>
    <w:uiPriority w:val="33"/>
    <w:qFormat/>
    <w:rsid w:val="009637A8"/>
    <w:rPr>
      <w:b/>
      <w:bCs/>
      <w:i/>
      <w:iCs/>
      <w:spacing w:val="5"/>
    </w:rPr>
  </w:style>
  <w:style w:type="paragraph" w:styleId="Caption">
    <w:name w:val="caption"/>
    <w:basedOn w:val="Normal-nospace"/>
    <w:next w:val="BodyText"/>
    <w:uiPriority w:val="35"/>
    <w:unhideWhenUsed/>
    <w:qFormat/>
    <w:rsid w:val="000F0CA1"/>
    <w:pPr>
      <w:keepNext/>
      <w:spacing w:before="240" w:after="80" w:line="216" w:lineRule="auto"/>
      <w:ind w:left="1179" w:hanging="1179"/>
    </w:pPr>
    <w:rPr>
      <w:rFonts w:ascii="Yu Gothic Medium" w:eastAsia="Yu Gothic Medium" w:hAnsi="Yu Gothic Medium"/>
      <w:iCs/>
      <w:spacing w:val="-10"/>
      <w:sz w:val="21"/>
      <w:szCs w:val="18"/>
    </w:rPr>
  </w:style>
  <w:style w:type="paragraph" w:styleId="Closing">
    <w:name w:val="Closing"/>
    <w:basedOn w:val="Normal"/>
    <w:link w:val="ClosingChar"/>
    <w:uiPriority w:val="99"/>
    <w:semiHidden/>
    <w:unhideWhenUsed/>
    <w:rsid w:val="009637A8"/>
    <w:pPr>
      <w:spacing w:after="0"/>
      <w:ind w:left="4252"/>
    </w:pPr>
  </w:style>
  <w:style w:type="character" w:customStyle="1" w:styleId="ClosingChar">
    <w:name w:val="Closing Char"/>
    <w:basedOn w:val="DefaultParagraphFont"/>
    <w:link w:val="Closing"/>
    <w:uiPriority w:val="99"/>
    <w:semiHidden/>
    <w:rsid w:val="009637A8"/>
    <w:rPr>
      <w:rFonts w:ascii="Arial" w:hAnsi="Arial" w:cs="Arial"/>
    </w:rPr>
  </w:style>
  <w:style w:type="table" w:styleId="ColourfulGrid">
    <w:name w:val="Colorful Grid"/>
    <w:basedOn w:val="TableNormal"/>
    <w:uiPriority w:val="73"/>
    <w:semiHidden/>
    <w:unhideWhenUsed/>
    <w:rsid w:val="009637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semiHidden/>
    <w:unhideWhenUsed/>
    <w:rsid w:val="009637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6F2" w:themeFill="accent1" w:themeFillTint="33"/>
    </w:tcPr>
    <w:tblStylePr w:type="firstRow">
      <w:rPr>
        <w:b/>
        <w:bCs/>
      </w:rPr>
      <w:tblPr/>
      <w:tcPr>
        <w:shd w:val="clear" w:color="auto" w:fill="D7CEE5" w:themeFill="accent1" w:themeFillTint="66"/>
      </w:tcPr>
    </w:tblStylePr>
    <w:tblStylePr w:type="lastRow">
      <w:rPr>
        <w:b/>
        <w:bCs/>
        <w:color w:val="000000" w:themeColor="text1"/>
      </w:rPr>
      <w:tblPr/>
      <w:tcPr>
        <w:shd w:val="clear" w:color="auto" w:fill="D7CEE5" w:themeFill="accent1" w:themeFillTint="66"/>
      </w:tcPr>
    </w:tblStylePr>
    <w:tblStylePr w:type="firstCol">
      <w:rPr>
        <w:color w:val="FFFFFF" w:themeColor="background1"/>
      </w:rPr>
      <w:tblPr/>
      <w:tcPr>
        <w:shd w:val="clear" w:color="auto" w:fill="72549D" w:themeFill="accent1" w:themeFillShade="BF"/>
      </w:tcPr>
    </w:tblStylePr>
    <w:tblStylePr w:type="lastCol">
      <w:rPr>
        <w:color w:val="FFFFFF" w:themeColor="background1"/>
      </w:rPr>
      <w:tblPr/>
      <w:tcPr>
        <w:shd w:val="clear" w:color="auto" w:fill="72549D" w:themeFill="accent1" w:themeFillShade="BF"/>
      </w:tcPr>
    </w:tblStylePr>
    <w:tblStylePr w:type="band1Vert">
      <w:tblPr/>
      <w:tcPr>
        <w:shd w:val="clear" w:color="auto" w:fill="CEC2DE" w:themeFill="accent1" w:themeFillTint="7F"/>
      </w:tcPr>
    </w:tblStylePr>
    <w:tblStylePr w:type="band1Horz">
      <w:tblPr/>
      <w:tcPr>
        <w:shd w:val="clear" w:color="auto" w:fill="CEC2DE" w:themeFill="accent1" w:themeFillTint="7F"/>
      </w:tcPr>
    </w:tblStylePr>
  </w:style>
  <w:style w:type="table" w:styleId="ColourfulGridAccent2">
    <w:name w:val="Colorful Grid Accent 2"/>
    <w:basedOn w:val="TableNormal"/>
    <w:uiPriority w:val="73"/>
    <w:semiHidden/>
    <w:unhideWhenUsed/>
    <w:rsid w:val="009637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5E5" w:themeFill="accent2" w:themeFillTint="33"/>
    </w:tcPr>
    <w:tblStylePr w:type="firstRow">
      <w:rPr>
        <w:b/>
        <w:bCs/>
      </w:rPr>
      <w:tblPr/>
      <w:tcPr>
        <w:shd w:val="clear" w:color="auto" w:fill="CBCBCB" w:themeFill="accent2" w:themeFillTint="66"/>
      </w:tcPr>
    </w:tblStylePr>
    <w:tblStylePr w:type="lastRow">
      <w:rPr>
        <w:b/>
        <w:bCs/>
        <w:color w:val="000000" w:themeColor="text1"/>
      </w:rPr>
      <w:tblPr/>
      <w:tcPr>
        <w:shd w:val="clear" w:color="auto" w:fill="CBCBCB" w:themeFill="accent2" w:themeFillTint="66"/>
      </w:tcPr>
    </w:tblStylePr>
    <w:tblStylePr w:type="firstCol">
      <w:rPr>
        <w:color w:val="FFFFFF" w:themeColor="background1"/>
      </w:rPr>
      <w:tblPr/>
      <w:tcPr>
        <w:shd w:val="clear" w:color="auto" w:fill="5D5D5D" w:themeFill="accent2" w:themeFillShade="BF"/>
      </w:tcPr>
    </w:tblStylePr>
    <w:tblStylePr w:type="lastCol">
      <w:rPr>
        <w:color w:val="FFFFFF" w:themeColor="background1"/>
      </w:rPr>
      <w:tblPr/>
      <w:tcPr>
        <w:shd w:val="clear" w:color="auto" w:fill="5D5D5D" w:themeFill="accent2" w:themeFillShade="BF"/>
      </w:tcPr>
    </w:tblStylePr>
    <w:tblStylePr w:type="band1Vert">
      <w:tblPr/>
      <w:tcPr>
        <w:shd w:val="clear" w:color="auto" w:fill="BEBEBE" w:themeFill="accent2" w:themeFillTint="7F"/>
      </w:tcPr>
    </w:tblStylePr>
    <w:tblStylePr w:type="band1Horz">
      <w:tblPr/>
      <w:tcPr>
        <w:shd w:val="clear" w:color="auto" w:fill="BEBEBE" w:themeFill="accent2" w:themeFillTint="7F"/>
      </w:tcPr>
    </w:tblStylePr>
  </w:style>
  <w:style w:type="table" w:styleId="ColourfulGridAccent3">
    <w:name w:val="Colorful Grid Accent 3"/>
    <w:basedOn w:val="TableNormal"/>
    <w:uiPriority w:val="73"/>
    <w:semiHidden/>
    <w:unhideWhenUsed/>
    <w:rsid w:val="009637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F4F4" w:themeFill="accent3" w:themeFillTint="33"/>
    </w:tcPr>
    <w:tblStylePr w:type="firstRow">
      <w:rPr>
        <w:b/>
        <w:bCs/>
      </w:rPr>
      <w:tblPr/>
      <w:tcPr>
        <w:shd w:val="clear" w:color="auto" w:fill="E9E9E9" w:themeFill="accent3" w:themeFillTint="66"/>
      </w:tcPr>
    </w:tblStylePr>
    <w:tblStylePr w:type="lastRow">
      <w:rPr>
        <w:b/>
        <w:bCs/>
        <w:color w:val="000000" w:themeColor="text1"/>
      </w:rPr>
      <w:tblPr/>
      <w:tcPr>
        <w:shd w:val="clear" w:color="auto" w:fill="E9E9E9" w:themeFill="accent3" w:themeFillTint="66"/>
      </w:tcPr>
    </w:tblStylePr>
    <w:tblStylePr w:type="firstCol">
      <w:rPr>
        <w:color w:val="FFFFFF" w:themeColor="background1"/>
      </w:rPr>
      <w:tblPr/>
      <w:tcPr>
        <w:shd w:val="clear" w:color="auto" w:fill="959595" w:themeFill="accent3" w:themeFillShade="BF"/>
      </w:tcPr>
    </w:tblStylePr>
    <w:tblStylePr w:type="lastCol">
      <w:rPr>
        <w:color w:val="FFFFFF" w:themeColor="background1"/>
      </w:rPr>
      <w:tblPr/>
      <w:tcPr>
        <w:shd w:val="clear" w:color="auto" w:fill="959595" w:themeFill="accent3" w:themeFillShade="BF"/>
      </w:tcPr>
    </w:tblStylePr>
    <w:tblStylePr w:type="band1Vert">
      <w:tblPr/>
      <w:tcPr>
        <w:shd w:val="clear" w:color="auto" w:fill="E3E3E3" w:themeFill="accent3" w:themeFillTint="7F"/>
      </w:tcPr>
    </w:tblStylePr>
    <w:tblStylePr w:type="band1Horz">
      <w:tblPr/>
      <w:tcPr>
        <w:shd w:val="clear" w:color="auto" w:fill="E3E3E3" w:themeFill="accent3" w:themeFillTint="7F"/>
      </w:tcPr>
    </w:tblStylePr>
  </w:style>
  <w:style w:type="table" w:styleId="ColourfulGridAccent4">
    <w:name w:val="Colorful Grid Accent 4"/>
    <w:basedOn w:val="TableNormal"/>
    <w:uiPriority w:val="73"/>
    <w:semiHidden/>
    <w:unhideWhenUsed/>
    <w:rsid w:val="009637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8E7FF" w:themeFill="accent4" w:themeFillTint="33"/>
    </w:tcPr>
    <w:tblStylePr w:type="firstRow">
      <w:rPr>
        <w:b/>
        <w:bCs/>
      </w:rPr>
      <w:tblPr/>
      <w:tcPr>
        <w:shd w:val="clear" w:color="auto" w:fill="72D0FF" w:themeFill="accent4" w:themeFillTint="66"/>
      </w:tcPr>
    </w:tblStylePr>
    <w:tblStylePr w:type="lastRow">
      <w:rPr>
        <w:b/>
        <w:bCs/>
        <w:color w:val="000000" w:themeColor="text1"/>
      </w:rPr>
      <w:tblPr/>
      <w:tcPr>
        <w:shd w:val="clear" w:color="auto" w:fill="72D0FF" w:themeFill="accent4" w:themeFillTint="66"/>
      </w:tcPr>
    </w:tblStylePr>
    <w:tblStylePr w:type="firstCol">
      <w:rPr>
        <w:color w:val="FFFFFF" w:themeColor="background1"/>
      </w:rPr>
      <w:tblPr/>
      <w:tcPr>
        <w:shd w:val="clear" w:color="auto" w:fill="004F77" w:themeFill="accent4" w:themeFillShade="BF"/>
      </w:tcPr>
    </w:tblStylePr>
    <w:tblStylePr w:type="lastCol">
      <w:rPr>
        <w:color w:val="FFFFFF" w:themeColor="background1"/>
      </w:rPr>
      <w:tblPr/>
      <w:tcPr>
        <w:shd w:val="clear" w:color="auto" w:fill="004F77" w:themeFill="accent4" w:themeFillShade="BF"/>
      </w:tcPr>
    </w:tblStylePr>
    <w:tblStylePr w:type="band1Vert">
      <w:tblPr/>
      <w:tcPr>
        <w:shd w:val="clear" w:color="auto" w:fill="50C4FF" w:themeFill="accent4" w:themeFillTint="7F"/>
      </w:tcPr>
    </w:tblStylePr>
    <w:tblStylePr w:type="band1Horz">
      <w:tblPr/>
      <w:tcPr>
        <w:shd w:val="clear" w:color="auto" w:fill="50C4FF" w:themeFill="accent4" w:themeFillTint="7F"/>
      </w:tcPr>
    </w:tblStylePr>
  </w:style>
  <w:style w:type="table" w:styleId="ColourfulGridAccent5">
    <w:name w:val="Colorful Grid Accent 5"/>
    <w:basedOn w:val="TableNormal"/>
    <w:uiPriority w:val="73"/>
    <w:semiHidden/>
    <w:unhideWhenUsed/>
    <w:rsid w:val="009637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F1F6" w:themeFill="accent5" w:themeFillTint="33"/>
    </w:tcPr>
    <w:tblStylePr w:type="firstRow">
      <w:rPr>
        <w:b/>
        <w:bCs/>
      </w:rPr>
      <w:tblPr/>
      <w:tcPr>
        <w:shd w:val="clear" w:color="auto" w:fill="CAE4EE" w:themeFill="accent5" w:themeFillTint="66"/>
      </w:tcPr>
    </w:tblStylePr>
    <w:tblStylePr w:type="lastRow">
      <w:rPr>
        <w:b/>
        <w:bCs/>
        <w:color w:val="000000" w:themeColor="text1"/>
      </w:rPr>
      <w:tblPr/>
      <w:tcPr>
        <w:shd w:val="clear" w:color="auto" w:fill="CAE4EE" w:themeFill="accent5" w:themeFillTint="66"/>
      </w:tcPr>
    </w:tblStylePr>
    <w:tblStylePr w:type="firstCol">
      <w:rPr>
        <w:color w:val="FFFFFF" w:themeColor="background1"/>
      </w:rPr>
      <w:tblPr/>
      <w:tcPr>
        <w:shd w:val="clear" w:color="auto" w:fill="3C9BC0" w:themeFill="accent5" w:themeFillShade="BF"/>
      </w:tcPr>
    </w:tblStylePr>
    <w:tblStylePr w:type="lastCol">
      <w:rPr>
        <w:color w:val="FFFFFF" w:themeColor="background1"/>
      </w:rPr>
      <w:tblPr/>
      <w:tcPr>
        <w:shd w:val="clear" w:color="auto" w:fill="3C9BC0" w:themeFill="accent5" w:themeFillShade="BF"/>
      </w:tcPr>
    </w:tblStylePr>
    <w:tblStylePr w:type="band1Vert">
      <w:tblPr/>
      <w:tcPr>
        <w:shd w:val="clear" w:color="auto" w:fill="BDDDEA" w:themeFill="accent5" w:themeFillTint="7F"/>
      </w:tcPr>
    </w:tblStylePr>
    <w:tblStylePr w:type="band1Horz">
      <w:tblPr/>
      <w:tcPr>
        <w:shd w:val="clear" w:color="auto" w:fill="BDDDEA" w:themeFill="accent5" w:themeFillTint="7F"/>
      </w:tcPr>
    </w:tblStylePr>
  </w:style>
  <w:style w:type="table" w:styleId="ColourfulGridAccent6">
    <w:name w:val="Colorful Grid Accent 6"/>
    <w:basedOn w:val="TableNormal"/>
    <w:uiPriority w:val="73"/>
    <w:semiHidden/>
    <w:unhideWhenUsed/>
    <w:rsid w:val="009637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EBDA" w:themeFill="accent6" w:themeFillTint="33"/>
    </w:tcPr>
    <w:tblStylePr w:type="firstRow">
      <w:rPr>
        <w:b/>
        <w:bCs/>
      </w:rPr>
      <w:tblPr/>
      <w:tcPr>
        <w:shd w:val="clear" w:color="auto" w:fill="ACD8B5" w:themeFill="accent6" w:themeFillTint="66"/>
      </w:tcPr>
    </w:tblStylePr>
    <w:tblStylePr w:type="lastRow">
      <w:rPr>
        <w:b/>
        <w:bCs/>
        <w:color w:val="000000" w:themeColor="text1"/>
      </w:rPr>
      <w:tblPr/>
      <w:tcPr>
        <w:shd w:val="clear" w:color="auto" w:fill="ACD8B5" w:themeFill="accent6" w:themeFillTint="66"/>
      </w:tcPr>
    </w:tblStylePr>
    <w:tblStylePr w:type="firstCol">
      <w:rPr>
        <w:color w:val="FFFFFF" w:themeColor="background1"/>
      </w:rPr>
      <w:tblPr/>
      <w:tcPr>
        <w:shd w:val="clear" w:color="auto" w:fill="31693D" w:themeFill="accent6" w:themeFillShade="BF"/>
      </w:tcPr>
    </w:tblStylePr>
    <w:tblStylePr w:type="lastCol">
      <w:rPr>
        <w:color w:val="FFFFFF" w:themeColor="background1"/>
      </w:rPr>
      <w:tblPr/>
      <w:tcPr>
        <w:shd w:val="clear" w:color="auto" w:fill="31693D" w:themeFill="accent6" w:themeFillShade="BF"/>
      </w:tcPr>
    </w:tblStylePr>
    <w:tblStylePr w:type="band1Vert">
      <w:tblPr/>
      <w:tcPr>
        <w:shd w:val="clear" w:color="auto" w:fill="98CFA3" w:themeFill="accent6" w:themeFillTint="7F"/>
      </w:tcPr>
    </w:tblStylePr>
    <w:tblStylePr w:type="band1Horz">
      <w:tblPr/>
      <w:tcPr>
        <w:shd w:val="clear" w:color="auto" w:fill="98CFA3" w:themeFill="accent6" w:themeFillTint="7F"/>
      </w:tcPr>
    </w:tblStylePr>
  </w:style>
  <w:style w:type="table" w:styleId="ColourfulList">
    <w:name w:val="Colorful List"/>
    <w:basedOn w:val="TableNormal"/>
    <w:uiPriority w:val="72"/>
    <w:semiHidden/>
    <w:unhideWhenUsed/>
    <w:rsid w:val="009637A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46464" w:themeFill="accent2" w:themeFillShade="CC"/>
      </w:tcPr>
    </w:tblStylePr>
    <w:tblStylePr w:type="lastRow">
      <w:rPr>
        <w:b/>
        <w:bCs/>
        <w:color w:val="64646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semiHidden/>
    <w:unhideWhenUsed/>
    <w:rsid w:val="009637A8"/>
    <w:pPr>
      <w:spacing w:after="0" w:line="240" w:lineRule="auto"/>
    </w:pPr>
    <w:rPr>
      <w:color w:val="000000" w:themeColor="text1"/>
    </w:rPr>
    <w:tblPr>
      <w:tblStyleRowBandSize w:val="1"/>
      <w:tblStyleColBandSize w:val="1"/>
    </w:tblPr>
    <w:tcPr>
      <w:shd w:val="clear" w:color="auto" w:fill="F5F3F8" w:themeFill="accent1" w:themeFillTint="19"/>
    </w:tcPr>
    <w:tblStylePr w:type="firstRow">
      <w:rPr>
        <w:b/>
        <w:bCs/>
        <w:color w:val="FFFFFF" w:themeColor="background1"/>
      </w:rPr>
      <w:tblPr/>
      <w:tcPr>
        <w:tcBorders>
          <w:bottom w:val="single" w:sz="12" w:space="0" w:color="FFFFFF" w:themeColor="background1"/>
        </w:tcBorders>
        <w:shd w:val="clear" w:color="auto" w:fill="646464" w:themeFill="accent2" w:themeFillShade="CC"/>
      </w:tcPr>
    </w:tblStylePr>
    <w:tblStylePr w:type="lastRow">
      <w:rPr>
        <w:b/>
        <w:bCs/>
        <w:color w:val="64646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0EF" w:themeFill="accent1" w:themeFillTint="3F"/>
      </w:tcPr>
    </w:tblStylePr>
    <w:tblStylePr w:type="band1Horz">
      <w:tblPr/>
      <w:tcPr>
        <w:shd w:val="clear" w:color="auto" w:fill="EBE6F2" w:themeFill="accent1" w:themeFillTint="33"/>
      </w:tcPr>
    </w:tblStylePr>
  </w:style>
  <w:style w:type="table" w:styleId="ColourfulListAccent2">
    <w:name w:val="Colorful List Accent 2"/>
    <w:basedOn w:val="TableNormal"/>
    <w:uiPriority w:val="72"/>
    <w:semiHidden/>
    <w:unhideWhenUsed/>
    <w:rsid w:val="009637A8"/>
    <w:pPr>
      <w:spacing w:after="0" w:line="240" w:lineRule="auto"/>
    </w:pPr>
    <w:rPr>
      <w:color w:val="000000" w:themeColor="text1"/>
    </w:rPr>
    <w:tblPr>
      <w:tblStyleRowBandSize w:val="1"/>
      <w:tblStyleColBandSize w:val="1"/>
    </w:tblPr>
    <w:tcPr>
      <w:shd w:val="clear" w:color="auto" w:fill="F2F2F2" w:themeFill="accent2" w:themeFillTint="19"/>
    </w:tcPr>
    <w:tblStylePr w:type="firstRow">
      <w:rPr>
        <w:b/>
        <w:bCs/>
        <w:color w:val="FFFFFF" w:themeColor="background1"/>
      </w:rPr>
      <w:tblPr/>
      <w:tcPr>
        <w:tcBorders>
          <w:bottom w:val="single" w:sz="12" w:space="0" w:color="FFFFFF" w:themeColor="background1"/>
        </w:tcBorders>
        <w:shd w:val="clear" w:color="auto" w:fill="646464" w:themeFill="accent2" w:themeFillShade="CC"/>
      </w:tcPr>
    </w:tblStylePr>
    <w:tblStylePr w:type="lastRow">
      <w:rPr>
        <w:b/>
        <w:bCs/>
        <w:color w:val="64646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DEDE" w:themeFill="accent2" w:themeFillTint="3F"/>
      </w:tcPr>
    </w:tblStylePr>
    <w:tblStylePr w:type="band1Horz">
      <w:tblPr/>
      <w:tcPr>
        <w:shd w:val="clear" w:color="auto" w:fill="E5E5E5" w:themeFill="accent2" w:themeFillTint="33"/>
      </w:tcPr>
    </w:tblStylePr>
  </w:style>
  <w:style w:type="table" w:styleId="ColourfulListAccent3">
    <w:name w:val="Colorful List Accent 3"/>
    <w:basedOn w:val="TableNormal"/>
    <w:uiPriority w:val="72"/>
    <w:semiHidden/>
    <w:unhideWhenUsed/>
    <w:rsid w:val="009637A8"/>
    <w:pPr>
      <w:spacing w:after="0" w:line="240" w:lineRule="auto"/>
    </w:pPr>
    <w:rPr>
      <w:color w:val="000000" w:themeColor="text1"/>
    </w:rPr>
    <w:tblPr>
      <w:tblStyleRowBandSize w:val="1"/>
      <w:tblStyleColBandSize w:val="1"/>
    </w:tblPr>
    <w:tcPr>
      <w:shd w:val="clear" w:color="auto" w:fill="F9F9F9" w:themeFill="accent3" w:themeFillTint="19"/>
    </w:tcPr>
    <w:tblStylePr w:type="firstRow">
      <w:rPr>
        <w:b/>
        <w:bCs/>
        <w:color w:val="FFFFFF" w:themeColor="background1"/>
      </w:rPr>
      <w:tblPr/>
      <w:tcPr>
        <w:tcBorders>
          <w:bottom w:val="single" w:sz="12" w:space="0" w:color="FFFFFF" w:themeColor="background1"/>
        </w:tcBorders>
        <w:shd w:val="clear" w:color="auto" w:fill="00547F" w:themeFill="accent4" w:themeFillShade="CC"/>
      </w:tcPr>
    </w:tblStylePr>
    <w:tblStylePr w:type="lastRow">
      <w:rPr>
        <w:b/>
        <w:bCs/>
        <w:color w:val="00547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1F1" w:themeFill="accent3" w:themeFillTint="3F"/>
      </w:tcPr>
    </w:tblStylePr>
    <w:tblStylePr w:type="band1Horz">
      <w:tblPr/>
      <w:tcPr>
        <w:shd w:val="clear" w:color="auto" w:fill="F4F4F4" w:themeFill="accent3" w:themeFillTint="33"/>
      </w:tcPr>
    </w:tblStylePr>
  </w:style>
  <w:style w:type="table" w:styleId="ColourfulListAccent4">
    <w:name w:val="Colorful List Accent 4"/>
    <w:basedOn w:val="TableNormal"/>
    <w:uiPriority w:val="72"/>
    <w:semiHidden/>
    <w:unhideWhenUsed/>
    <w:rsid w:val="009637A8"/>
    <w:pPr>
      <w:spacing w:after="0" w:line="240" w:lineRule="auto"/>
    </w:pPr>
    <w:rPr>
      <w:color w:val="000000" w:themeColor="text1"/>
    </w:rPr>
    <w:tblPr>
      <w:tblStyleRowBandSize w:val="1"/>
      <w:tblStyleColBandSize w:val="1"/>
    </w:tblPr>
    <w:tcPr>
      <w:shd w:val="clear" w:color="auto" w:fill="DCF3FF" w:themeFill="accent4" w:themeFillTint="19"/>
    </w:tcPr>
    <w:tblStylePr w:type="firstRow">
      <w:rPr>
        <w:b/>
        <w:bCs/>
        <w:color w:val="FFFFFF" w:themeColor="background1"/>
      </w:rPr>
      <w:tblPr/>
      <w:tcPr>
        <w:tcBorders>
          <w:bottom w:val="single" w:sz="12" w:space="0" w:color="FFFFFF" w:themeColor="background1"/>
        </w:tcBorders>
        <w:shd w:val="clear" w:color="auto" w:fill="A0A0A0" w:themeFill="accent3" w:themeFillShade="CC"/>
      </w:tcPr>
    </w:tblStylePr>
    <w:tblStylePr w:type="lastRow">
      <w:rPr>
        <w:b/>
        <w:bCs/>
        <w:color w:val="A0A0A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E2FF" w:themeFill="accent4" w:themeFillTint="3F"/>
      </w:tcPr>
    </w:tblStylePr>
    <w:tblStylePr w:type="band1Horz">
      <w:tblPr/>
      <w:tcPr>
        <w:shd w:val="clear" w:color="auto" w:fill="B8E7FF" w:themeFill="accent4" w:themeFillTint="33"/>
      </w:tcPr>
    </w:tblStylePr>
  </w:style>
  <w:style w:type="table" w:styleId="ColourfulListAccent5">
    <w:name w:val="Colorful List Accent 5"/>
    <w:basedOn w:val="TableNormal"/>
    <w:uiPriority w:val="72"/>
    <w:semiHidden/>
    <w:unhideWhenUsed/>
    <w:rsid w:val="009637A8"/>
    <w:pPr>
      <w:spacing w:after="0" w:line="240" w:lineRule="auto"/>
    </w:pPr>
    <w:rPr>
      <w:color w:val="000000" w:themeColor="text1"/>
    </w:rPr>
    <w:tblPr>
      <w:tblStyleRowBandSize w:val="1"/>
      <w:tblStyleColBandSize w:val="1"/>
    </w:tblPr>
    <w:tcPr>
      <w:shd w:val="clear" w:color="auto" w:fill="F2F8FB" w:themeFill="accent5" w:themeFillTint="19"/>
    </w:tcPr>
    <w:tblStylePr w:type="firstRow">
      <w:rPr>
        <w:b/>
        <w:bCs/>
        <w:color w:val="FFFFFF" w:themeColor="background1"/>
      </w:rPr>
      <w:tblPr/>
      <w:tcPr>
        <w:tcBorders>
          <w:bottom w:val="single" w:sz="12" w:space="0" w:color="FFFFFF" w:themeColor="background1"/>
        </w:tcBorders>
        <w:shd w:val="clear" w:color="auto" w:fill="347041" w:themeFill="accent6" w:themeFillShade="CC"/>
      </w:tcPr>
    </w:tblStylePr>
    <w:tblStylePr w:type="lastRow">
      <w:rPr>
        <w:b/>
        <w:bCs/>
        <w:color w:val="34704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EF4" w:themeFill="accent5" w:themeFillTint="3F"/>
      </w:tcPr>
    </w:tblStylePr>
    <w:tblStylePr w:type="band1Horz">
      <w:tblPr/>
      <w:tcPr>
        <w:shd w:val="clear" w:color="auto" w:fill="E4F1F6" w:themeFill="accent5" w:themeFillTint="33"/>
      </w:tcPr>
    </w:tblStylePr>
  </w:style>
  <w:style w:type="table" w:styleId="ColourfulListAccent6">
    <w:name w:val="Colorful List Accent 6"/>
    <w:basedOn w:val="TableNormal"/>
    <w:uiPriority w:val="72"/>
    <w:semiHidden/>
    <w:unhideWhenUsed/>
    <w:rsid w:val="009637A8"/>
    <w:pPr>
      <w:spacing w:after="0" w:line="240" w:lineRule="auto"/>
    </w:pPr>
    <w:rPr>
      <w:color w:val="000000" w:themeColor="text1"/>
    </w:rPr>
    <w:tblPr>
      <w:tblStyleRowBandSize w:val="1"/>
      <w:tblStyleColBandSize w:val="1"/>
    </w:tblPr>
    <w:tcPr>
      <w:shd w:val="clear" w:color="auto" w:fill="EAF5EC" w:themeFill="accent6" w:themeFillTint="19"/>
    </w:tcPr>
    <w:tblStylePr w:type="firstRow">
      <w:rPr>
        <w:b/>
        <w:bCs/>
        <w:color w:val="FFFFFF" w:themeColor="background1"/>
      </w:rPr>
      <w:tblPr/>
      <w:tcPr>
        <w:tcBorders>
          <w:bottom w:val="single" w:sz="12" w:space="0" w:color="FFFFFF" w:themeColor="background1"/>
        </w:tcBorders>
        <w:shd w:val="clear" w:color="auto" w:fill="47A2C6" w:themeFill="accent5" w:themeFillShade="CC"/>
      </w:tcPr>
    </w:tblStylePr>
    <w:tblStylePr w:type="lastRow">
      <w:rPr>
        <w:b/>
        <w:bCs/>
        <w:color w:val="47A2C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E7D1" w:themeFill="accent6" w:themeFillTint="3F"/>
      </w:tcPr>
    </w:tblStylePr>
    <w:tblStylePr w:type="band1Horz">
      <w:tblPr/>
      <w:tcPr>
        <w:shd w:val="clear" w:color="auto" w:fill="D5EBDA" w:themeFill="accent6" w:themeFillTint="33"/>
      </w:tcPr>
    </w:tblStylePr>
  </w:style>
  <w:style w:type="table" w:styleId="ColourfulShading">
    <w:name w:val="Colorful Shading"/>
    <w:basedOn w:val="TableNormal"/>
    <w:uiPriority w:val="71"/>
    <w:semiHidden/>
    <w:unhideWhenUsed/>
    <w:rsid w:val="009637A8"/>
    <w:pPr>
      <w:spacing w:after="0" w:line="240" w:lineRule="auto"/>
    </w:pPr>
    <w:rPr>
      <w:color w:val="000000" w:themeColor="text1"/>
    </w:rPr>
    <w:tblPr>
      <w:tblStyleRowBandSize w:val="1"/>
      <w:tblStyleColBandSize w:val="1"/>
      <w:tblBorders>
        <w:top w:val="single" w:sz="24" w:space="0" w:color="7D7D7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7D7D7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semiHidden/>
    <w:unhideWhenUsed/>
    <w:rsid w:val="009637A8"/>
    <w:pPr>
      <w:spacing w:after="0" w:line="240" w:lineRule="auto"/>
    </w:pPr>
    <w:rPr>
      <w:color w:val="000000" w:themeColor="text1"/>
    </w:rPr>
    <w:tblPr>
      <w:tblStyleRowBandSize w:val="1"/>
      <w:tblStyleColBandSize w:val="1"/>
      <w:tblBorders>
        <w:top w:val="single" w:sz="24" w:space="0" w:color="7D7D7D" w:themeColor="accent2"/>
        <w:left w:val="single" w:sz="4" w:space="0" w:color="9D85BE" w:themeColor="accent1"/>
        <w:bottom w:val="single" w:sz="4" w:space="0" w:color="9D85BE" w:themeColor="accent1"/>
        <w:right w:val="single" w:sz="4" w:space="0" w:color="9D85BE" w:themeColor="accent1"/>
        <w:insideH w:val="single" w:sz="4" w:space="0" w:color="FFFFFF" w:themeColor="background1"/>
        <w:insideV w:val="single" w:sz="4" w:space="0" w:color="FFFFFF" w:themeColor="background1"/>
      </w:tblBorders>
    </w:tblPr>
    <w:tcPr>
      <w:shd w:val="clear" w:color="auto" w:fill="F5F3F8" w:themeFill="accent1" w:themeFillTint="19"/>
    </w:tcPr>
    <w:tblStylePr w:type="firstRow">
      <w:rPr>
        <w:b/>
        <w:bCs/>
      </w:rPr>
      <w:tblPr/>
      <w:tcPr>
        <w:tcBorders>
          <w:top w:val="nil"/>
          <w:left w:val="nil"/>
          <w:bottom w:val="single" w:sz="24" w:space="0" w:color="7D7D7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437E" w:themeFill="accent1" w:themeFillShade="99"/>
      </w:tcPr>
    </w:tblStylePr>
    <w:tblStylePr w:type="firstCol">
      <w:rPr>
        <w:color w:val="FFFFFF" w:themeColor="background1"/>
      </w:rPr>
      <w:tblPr/>
      <w:tcPr>
        <w:tcBorders>
          <w:top w:val="nil"/>
          <w:left w:val="nil"/>
          <w:bottom w:val="nil"/>
          <w:right w:val="nil"/>
          <w:insideH w:val="single" w:sz="4" w:space="0" w:color="5C437E" w:themeColor="accent1" w:themeShade="99"/>
          <w:insideV w:val="nil"/>
        </w:tcBorders>
        <w:shd w:val="clear" w:color="auto" w:fill="5C437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C437E" w:themeFill="accent1" w:themeFillShade="99"/>
      </w:tcPr>
    </w:tblStylePr>
    <w:tblStylePr w:type="band1Vert">
      <w:tblPr/>
      <w:tcPr>
        <w:shd w:val="clear" w:color="auto" w:fill="D7CEE5" w:themeFill="accent1" w:themeFillTint="66"/>
      </w:tcPr>
    </w:tblStylePr>
    <w:tblStylePr w:type="band1Horz">
      <w:tblPr/>
      <w:tcPr>
        <w:shd w:val="clear" w:color="auto" w:fill="CEC2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semiHidden/>
    <w:unhideWhenUsed/>
    <w:rsid w:val="009637A8"/>
    <w:pPr>
      <w:spacing w:after="0" w:line="240" w:lineRule="auto"/>
    </w:pPr>
    <w:rPr>
      <w:color w:val="000000" w:themeColor="text1"/>
    </w:rPr>
    <w:tblPr>
      <w:tblStyleRowBandSize w:val="1"/>
      <w:tblStyleColBandSize w:val="1"/>
      <w:tblBorders>
        <w:top w:val="single" w:sz="24" w:space="0" w:color="7D7D7D" w:themeColor="accent2"/>
        <w:left w:val="single" w:sz="4" w:space="0" w:color="7D7D7D" w:themeColor="accent2"/>
        <w:bottom w:val="single" w:sz="4" w:space="0" w:color="7D7D7D" w:themeColor="accent2"/>
        <w:right w:val="single" w:sz="4" w:space="0" w:color="7D7D7D" w:themeColor="accent2"/>
        <w:insideH w:val="single" w:sz="4" w:space="0" w:color="FFFFFF" w:themeColor="background1"/>
        <w:insideV w:val="single" w:sz="4" w:space="0" w:color="FFFFFF" w:themeColor="background1"/>
      </w:tblBorders>
    </w:tblPr>
    <w:tcPr>
      <w:shd w:val="clear" w:color="auto" w:fill="F2F2F2" w:themeFill="accent2" w:themeFillTint="19"/>
    </w:tcPr>
    <w:tblStylePr w:type="firstRow">
      <w:rPr>
        <w:b/>
        <w:bCs/>
      </w:rPr>
      <w:tblPr/>
      <w:tcPr>
        <w:tcBorders>
          <w:top w:val="nil"/>
          <w:left w:val="nil"/>
          <w:bottom w:val="single" w:sz="24" w:space="0" w:color="7D7D7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4B4B" w:themeFill="accent2" w:themeFillShade="99"/>
      </w:tcPr>
    </w:tblStylePr>
    <w:tblStylePr w:type="firstCol">
      <w:rPr>
        <w:color w:val="FFFFFF" w:themeColor="background1"/>
      </w:rPr>
      <w:tblPr/>
      <w:tcPr>
        <w:tcBorders>
          <w:top w:val="nil"/>
          <w:left w:val="nil"/>
          <w:bottom w:val="nil"/>
          <w:right w:val="nil"/>
          <w:insideH w:val="single" w:sz="4" w:space="0" w:color="4B4B4B" w:themeColor="accent2" w:themeShade="99"/>
          <w:insideV w:val="nil"/>
        </w:tcBorders>
        <w:shd w:val="clear" w:color="auto" w:fill="4B4B4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B4B4B" w:themeFill="accent2" w:themeFillShade="99"/>
      </w:tcPr>
    </w:tblStylePr>
    <w:tblStylePr w:type="band1Vert">
      <w:tblPr/>
      <w:tcPr>
        <w:shd w:val="clear" w:color="auto" w:fill="CBCBCB" w:themeFill="accent2" w:themeFillTint="66"/>
      </w:tcPr>
    </w:tblStylePr>
    <w:tblStylePr w:type="band1Horz">
      <w:tblPr/>
      <w:tcPr>
        <w:shd w:val="clear" w:color="auto" w:fill="BEBEBE"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semiHidden/>
    <w:unhideWhenUsed/>
    <w:rsid w:val="009637A8"/>
    <w:pPr>
      <w:spacing w:after="0" w:line="240" w:lineRule="auto"/>
    </w:pPr>
    <w:rPr>
      <w:color w:val="000000" w:themeColor="text1"/>
    </w:rPr>
    <w:tblPr>
      <w:tblStyleRowBandSize w:val="1"/>
      <w:tblStyleColBandSize w:val="1"/>
      <w:tblBorders>
        <w:top w:val="single" w:sz="24" w:space="0" w:color="006A9F" w:themeColor="accent4"/>
        <w:left w:val="single" w:sz="4" w:space="0" w:color="C8C8C8" w:themeColor="accent3"/>
        <w:bottom w:val="single" w:sz="4" w:space="0" w:color="C8C8C8" w:themeColor="accent3"/>
        <w:right w:val="single" w:sz="4" w:space="0" w:color="C8C8C8" w:themeColor="accent3"/>
        <w:insideH w:val="single" w:sz="4" w:space="0" w:color="FFFFFF" w:themeColor="background1"/>
        <w:insideV w:val="single" w:sz="4" w:space="0" w:color="FFFFFF" w:themeColor="background1"/>
      </w:tblBorders>
    </w:tblPr>
    <w:tcPr>
      <w:shd w:val="clear" w:color="auto" w:fill="F9F9F9" w:themeFill="accent3" w:themeFillTint="19"/>
    </w:tcPr>
    <w:tblStylePr w:type="firstRow">
      <w:rPr>
        <w:b/>
        <w:bCs/>
      </w:rPr>
      <w:tblPr/>
      <w:tcPr>
        <w:tcBorders>
          <w:top w:val="nil"/>
          <w:left w:val="nil"/>
          <w:bottom w:val="single" w:sz="24" w:space="0" w:color="006A9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87878" w:themeFill="accent3" w:themeFillShade="99"/>
      </w:tcPr>
    </w:tblStylePr>
    <w:tblStylePr w:type="firstCol">
      <w:rPr>
        <w:color w:val="FFFFFF" w:themeColor="background1"/>
      </w:rPr>
      <w:tblPr/>
      <w:tcPr>
        <w:tcBorders>
          <w:top w:val="nil"/>
          <w:left w:val="nil"/>
          <w:bottom w:val="nil"/>
          <w:right w:val="nil"/>
          <w:insideH w:val="single" w:sz="4" w:space="0" w:color="787878" w:themeColor="accent3" w:themeShade="99"/>
          <w:insideV w:val="nil"/>
        </w:tcBorders>
        <w:shd w:val="clear" w:color="auto" w:fill="78787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87878" w:themeFill="accent3" w:themeFillShade="99"/>
      </w:tcPr>
    </w:tblStylePr>
    <w:tblStylePr w:type="band1Vert">
      <w:tblPr/>
      <w:tcPr>
        <w:shd w:val="clear" w:color="auto" w:fill="E9E9E9" w:themeFill="accent3" w:themeFillTint="66"/>
      </w:tcPr>
    </w:tblStylePr>
    <w:tblStylePr w:type="band1Horz">
      <w:tblPr/>
      <w:tcPr>
        <w:shd w:val="clear" w:color="auto" w:fill="E3E3E3" w:themeFill="accent3" w:themeFillTint="7F"/>
      </w:tcPr>
    </w:tblStylePr>
  </w:style>
  <w:style w:type="table" w:styleId="ColourfulShadingAccent4">
    <w:name w:val="Colorful Shading Accent 4"/>
    <w:basedOn w:val="TableNormal"/>
    <w:uiPriority w:val="71"/>
    <w:semiHidden/>
    <w:unhideWhenUsed/>
    <w:rsid w:val="009637A8"/>
    <w:pPr>
      <w:spacing w:after="0" w:line="240" w:lineRule="auto"/>
    </w:pPr>
    <w:rPr>
      <w:color w:val="000000" w:themeColor="text1"/>
    </w:rPr>
    <w:tblPr>
      <w:tblStyleRowBandSize w:val="1"/>
      <w:tblStyleColBandSize w:val="1"/>
      <w:tblBorders>
        <w:top w:val="single" w:sz="24" w:space="0" w:color="C8C8C8" w:themeColor="accent3"/>
        <w:left w:val="single" w:sz="4" w:space="0" w:color="006A9F" w:themeColor="accent4"/>
        <w:bottom w:val="single" w:sz="4" w:space="0" w:color="006A9F" w:themeColor="accent4"/>
        <w:right w:val="single" w:sz="4" w:space="0" w:color="006A9F" w:themeColor="accent4"/>
        <w:insideH w:val="single" w:sz="4" w:space="0" w:color="FFFFFF" w:themeColor="background1"/>
        <w:insideV w:val="single" w:sz="4" w:space="0" w:color="FFFFFF" w:themeColor="background1"/>
      </w:tblBorders>
    </w:tblPr>
    <w:tcPr>
      <w:shd w:val="clear" w:color="auto" w:fill="DCF3FF" w:themeFill="accent4" w:themeFillTint="19"/>
    </w:tcPr>
    <w:tblStylePr w:type="firstRow">
      <w:rPr>
        <w:b/>
        <w:bCs/>
      </w:rPr>
      <w:tblPr/>
      <w:tcPr>
        <w:tcBorders>
          <w:top w:val="nil"/>
          <w:left w:val="nil"/>
          <w:bottom w:val="single" w:sz="24" w:space="0" w:color="C8C8C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F5F" w:themeFill="accent4" w:themeFillShade="99"/>
      </w:tcPr>
    </w:tblStylePr>
    <w:tblStylePr w:type="firstCol">
      <w:rPr>
        <w:color w:val="FFFFFF" w:themeColor="background1"/>
      </w:rPr>
      <w:tblPr/>
      <w:tcPr>
        <w:tcBorders>
          <w:top w:val="nil"/>
          <w:left w:val="nil"/>
          <w:bottom w:val="nil"/>
          <w:right w:val="nil"/>
          <w:insideH w:val="single" w:sz="4" w:space="0" w:color="003F5F" w:themeColor="accent4" w:themeShade="99"/>
          <w:insideV w:val="nil"/>
        </w:tcBorders>
        <w:shd w:val="clear" w:color="auto" w:fill="003F5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3F5F" w:themeFill="accent4" w:themeFillShade="99"/>
      </w:tcPr>
    </w:tblStylePr>
    <w:tblStylePr w:type="band1Vert">
      <w:tblPr/>
      <w:tcPr>
        <w:shd w:val="clear" w:color="auto" w:fill="72D0FF" w:themeFill="accent4" w:themeFillTint="66"/>
      </w:tcPr>
    </w:tblStylePr>
    <w:tblStylePr w:type="band1Horz">
      <w:tblPr/>
      <w:tcPr>
        <w:shd w:val="clear" w:color="auto" w:fill="50C4FF"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semiHidden/>
    <w:unhideWhenUsed/>
    <w:rsid w:val="009637A8"/>
    <w:pPr>
      <w:spacing w:after="0" w:line="240" w:lineRule="auto"/>
    </w:pPr>
    <w:rPr>
      <w:color w:val="000000" w:themeColor="text1"/>
    </w:rPr>
    <w:tblPr>
      <w:tblStyleRowBandSize w:val="1"/>
      <w:tblStyleColBandSize w:val="1"/>
      <w:tblBorders>
        <w:top w:val="single" w:sz="24" w:space="0" w:color="428D52" w:themeColor="accent6"/>
        <w:left w:val="single" w:sz="4" w:space="0" w:color="7BBDD6" w:themeColor="accent5"/>
        <w:bottom w:val="single" w:sz="4" w:space="0" w:color="7BBDD6" w:themeColor="accent5"/>
        <w:right w:val="single" w:sz="4" w:space="0" w:color="7BBDD6" w:themeColor="accent5"/>
        <w:insideH w:val="single" w:sz="4" w:space="0" w:color="FFFFFF" w:themeColor="background1"/>
        <w:insideV w:val="single" w:sz="4" w:space="0" w:color="FFFFFF" w:themeColor="background1"/>
      </w:tblBorders>
    </w:tblPr>
    <w:tcPr>
      <w:shd w:val="clear" w:color="auto" w:fill="F2F8FB" w:themeFill="accent5" w:themeFillTint="19"/>
    </w:tcPr>
    <w:tblStylePr w:type="firstRow">
      <w:rPr>
        <w:b/>
        <w:bCs/>
      </w:rPr>
      <w:tblPr/>
      <w:tcPr>
        <w:tcBorders>
          <w:top w:val="nil"/>
          <w:left w:val="nil"/>
          <w:bottom w:val="single" w:sz="24" w:space="0" w:color="428D5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07C9A" w:themeFill="accent5" w:themeFillShade="99"/>
      </w:tcPr>
    </w:tblStylePr>
    <w:tblStylePr w:type="firstCol">
      <w:rPr>
        <w:color w:val="FFFFFF" w:themeColor="background1"/>
      </w:rPr>
      <w:tblPr/>
      <w:tcPr>
        <w:tcBorders>
          <w:top w:val="nil"/>
          <w:left w:val="nil"/>
          <w:bottom w:val="nil"/>
          <w:right w:val="nil"/>
          <w:insideH w:val="single" w:sz="4" w:space="0" w:color="307C9A" w:themeColor="accent5" w:themeShade="99"/>
          <w:insideV w:val="nil"/>
        </w:tcBorders>
        <w:shd w:val="clear" w:color="auto" w:fill="307C9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07C9A" w:themeFill="accent5" w:themeFillShade="99"/>
      </w:tcPr>
    </w:tblStylePr>
    <w:tblStylePr w:type="band1Vert">
      <w:tblPr/>
      <w:tcPr>
        <w:shd w:val="clear" w:color="auto" w:fill="CAE4EE" w:themeFill="accent5" w:themeFillTint="66"/>
      </w:tcPr>
    </w:tblStylePr>
    <w:tblStylePr w:type="band1Horz">
      <w:tblPr/>
      <w:tcPr>
        <w:shd w:val="clear" w:color="auto" w:fill="BDDDEA"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semiHidden/>
    <w:unhideWhenUsed/>
    <w:rsid w:val="009637A8"/>
    <w:pPr>
      <w:spacing w:after="0" w:line="240" w:lineRule="auto"/>
    </w:pPr>
    <w:rPr>
      <w:color w:val="000000" w:themeColor="text1"/>
    </w:rPr>
    <w:tblPr>
      <w:tblStyleRowBandSize w:val="1"/>
      <w:tblStyleColBandSize w:val="1"/>
      <w:tblBorders>
        <w:top w:val="single" w:sz="24" w:space="0" w:color="7BBDD6" w:themeColor="accent5"/>
        <w:left w:val="single" w:sz="4" w:space="0" w:color="428D52" w:themeColor="accent6"/>
        <w:bottom w:val="single" w:sz="4" w:space="0" w:color="428D52" w:themeColor="accent6"/>
        <w:right w:val="single" w:sz="4" w:space="0" w:color="428D52" w:themeColor="accent6"/>
        <w:insideH w:val="single" w:sz="4" w:space="0" w:color="FFFFFF" w:themeColor="background1"/>
        <w:insideV w:val="single" w:sz="4" w:space="0" w:color="FFFFFF" w:themeColor="background1"/>
      </w:tblBorders>
    </w:tblPr>
    <w:tcPr>
      <w:shd w:val="clear" w:color="auto" w:fill="EAF5EC" w:themeFill="accent6" w:themeFillTint="19"/>
    </w:tcPr>
    <w:tblStylePr w:type="firstRow">
      <w:rPr>
        <w:b/>
        <w:bCs/>
      </w:rPr>
      <w:tblPr/>
      <w:tcPr>
        <w:tcBorders>
          <w:top w:val="nil"/>
          <w:left w:val="nil"/>
          <w:bottom w:val="single" w:sz="24" w:space="0" w:color="7BBDD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5431" w:themeFill="accent6" w:themeFillShade="99"/>
      </w:tcPr>
    </w:tblStylePr>
    <w:tblStylePr w:type="firstCol">
      <w:rPr>
        <w:color w:val="FFFFFF" w:themeColor="background1"/>
      </w:rPr>
      <w:tblPr/>
      <w:tcPr>
        <w:tcBorders>
          <w:top w:val="nil"/>
          <w:left w:val="nil"/>
          <w:bottom w:val="nil"/>
          <w:right w:val="nil"/>
          <w:insideH w:val="single" w:sz="4" w:space="0" w:color="275431" w:themeColor="accent6" w:themeShade="99"/>
          <w:insideV w:val="nil"/>
        </w:tcBorders>
        <w:shd w:val="clear" w:color="auto" w:fill="27543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75431" w:themeFill="accent6" w:themeFillShade="99"/>
      </w:tcPr>
    </w:tblStylePr>
    <w:tblStylePr w:type="band1Vert">
      <w:tblPr/>
      <w:tcPr>
        <w:shd w:val="clear" w:color="auto" w:fill="ACD8B5" w:themeFill="accent6" w:themeFillTint="66"/>
      </w:tcPr>
    </w:tblStylePr>
    <w:tblStylePr w:type="band1Horz">
      <w:tblPr/>
      <w:tcPr>
        <w:shd w:val="clear" w:color="auto" w:fill="98CFA3"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637A8"/>
    <w:rPr>
      <w:sz w:val="16"/>
      <w:szCs w:val="16"/>
    </w:rPr>
  </w:style>
  <w:style w:type="paragraph" w:styleId="CommentText">
    <w:name w:val="annotation text"/>
    <w:basedOn w:val="Normal"/>
    <w:link w:val="CommentTextChar"/>
    <w:uiPriority w:val="99"/>
    <w:unhideWhenUsed/>
    <w:rsid w:val="009637A8"/>
    <w:pPr>
      <w:spacing w:after="160"/>
    </w:pPr>
    <w:rPr>
      <w:sz w:val="20"/>
      <w:szCs w:val="20"/>
    </w:rPr>
  </w:style>
  <w:style w:type="character" w:customStyle="1" w:styleId="CommentTextChar">
    <w:name w:val="Comment Text Char"/>
    <w:basedOn w:val="DefaultParagraphFont"/>
    <w:link w:val="CommentText"/>
    <w:uiPriority w:val="99"/>
    <w:rsid w:val="009637A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637A8"/>
    <w:rPr>
      <w:b/>
      <w:bCs/>
    </w:rPr>
  </w:style>
  <w:style w:type="character" w:customStyle="1" w:styleId="CommentSubjectChar">
    <w:name w:val="Comment Subject Char"/>
    <w:basedOn w:val="CommentTextChar"/>
    <w:link w:val="CommentSubject"/>
    <w:uiPriority w:val="99"/>
    <w:semiHidden/>
    <w:rsid w:val="009637A8"/>
    <w:rPr>
      <w:rFonts w:ascii="Arial" w:hAnsi="Arial" w:cs="Arial"/>
      <w:b/>
      <w:bCs/>
      <w:sz w:val="20"/>
      <w:szCs w:val="20"/>
    </w:rPr>
  </w:style>
  <w:style w:type="table" w:styleId="DarkList">
    <w:name w:val="Dark List"/>
    <w:basedOn w:val="TableNormal"/>
    <w:uiPriority w:val="70"/>
    <w:semiHidden/>
    <w:unhideWhenUsed/>
    <w:rsid w:val="009637A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637A8"/>
    <w:pPr>
      <w:spacing w:after="0" w:line="240" w:lineRule="auto"/>
    </w:pPr>
    <w:rPr>
      <w:color w:val="FFFFFF" w:themeColor="background1"/>
    </w:rPr>
    <w:tblPr>
      <w:tblStyleRowBandSize w:val="1"/>
      <w:tblStyleColBandSize w:val="1"/>
    </w:tblPr>
    <w:tcPr>
      <w:shd w:val="clear" w:color="auto" w:fill="9D85B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386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2549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2549D" w:themeFill="accent1" w:themeFillShade="BF"/>
      </w:tcPr>
    </w:tblStylePr>
    <w:tblStylePr w:type="band1Vert">
      <w:tblPr/>
      <w:tcPr>
        <w:tcBorders>
          <w:top w:val="nil"/>
          <w:left w:val="nil"/>
          <w:bottom w:val="nil"/>
          <w:right w:val="nil"/>
          <w:insideH w:val="nil"/>
          <w:insideV w:val="nil"/>
        </w:tcBorders>
        <w:shd w:val="clear" w:color="auto" w:fill="72549D" w:themeFill="accent1" w:themeFillShade="BF"/>
      </w:tcPr>
    </w:tblStylePr>
    <w:tblStylePr w:type="band1Horz">
      <w:tblPr/>
      <w:tcPr>
        <w:tcBorders>
          <w:top w:val="nil"/>
          <w:left w:val="nil"/>
          <w:bottom w:val="nil"/>
          <w:right w:val="nil"/>
          <w:insideH w:val="nil"/>
          <w:insideV w:val="nil"/>
        </w:tcBorders>
        <w:shd w:val="clear" w:color="auto" w:fill="72549D" w:themeFill="accent1" w:themeFillShade="BF"/>
      </w:tcPr>
    </w:tblStylePr>
  </w:style>
  <w:style w:type="table" w:styleId="DarkList-Accent2">
    <w:name w:val="Dark List Accent 2"/>
    <w:basedOn w:val="TableNormal"/>
    <w:uiPriority w:val="70"/>
    <w:semiHidden/>
    <w:unhideWhenUsed/>
    <w:rsid w:val="009637A8"/>
    <w:pPr>
      <w:spacing w:after="0" w:line="240" w:lineRule="auto"/>
    </w:pPr>
    <w:rPr>
      <w:color w:val="FFFFFF" w:themeColor="background1"/>
    </w:rPr>
    <w:tblPr>
      <w:tblStyleRowBandSize w:val="1"/>
      <w:tblStyleColBandSize w:val="1"/>
    </w:tblPr>
    <w:tcPr>
      <w:shd w:val="clear" w:color="auto" w:fill="7D7D7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3E3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D5D5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D5D5D" w:themeFill="accent2" w:themeFillShade="BF"/>
      </w:tcPr>
    </w:tblStylePr>
    <w:tblStylePr w:type="band1Vert">
      <w:tblPr/>
      <w:tcPr>
        <w:tcBorders>
          <w:top w:val="nil"/>
          <w:left w:val="nil"/>
          <w:bottom w:val="nil"/>
          <w:right w:val="nil"/>
          <w:insideH w:val="nil"/>
          <w:insideV w:val="nil"/>
        </w:tcBorders>
        <w:shd w:val="clear" w:color="auto" w:fill="5D5D5D" w:themeFill="accent2" w:themeFillShade="BF"/>
      </w:tcPr>
    </w:tblStylePr>
    <w:tblStylePr w:type="band1Horz">
      <w:tblPr/>
      <w:tcPr>
        <w:tcBorders>
          <w:top w:val="nil"/>
          <w:left w:val="nil"/>
          <w:bottom w:val="nil"/>
          <w:right w:val="nil"/>
          <w:insideH w:val="nil"/>
          <w:insideV w:val="nil"/>
        </w:tcBorders>
        <w:shd w:val="clear" w:color="auto" w:fill="5D5D5D" w:themeFill="accent2" w:themeFillShade="BF"/>
      </w:tcPr>
    </w:tblStylePr>
  </w:style>
  <w:style w:type="table" w:styleId="DarkList-Accent3">
    <w:name w:val="Dark List Accent 3"/>
    <w:basedOn w:val="TableNormal"/>
    <w:uiPriority w:val="70"/>
    <w:semiHidden/>
    <w:unhideWhenUsed/>
    <w:rsid w:val="009637A8"/>
    <w:pPr>
      <w:spacing w:after="0" w:line="240" w:lineRule="auto"/>
    </w:pPr>
    <w:rPr>
      <w:color w:val="FFFFFF" w:themeColor="background1"/>
    </w:rPr>
    <w:tblPr>
      <w:tblStyleRowBandSize w:val="1"/>
      <w:tblStyleColBandSize w:val="1"/>
    </w:tblPr>
    <w:tcPr>
      <w:shd w:val="clear" w:color="auto" w:fill="C8C8C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636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59595"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59595" w:themeFill="accent3" w:themeFillShade="BF"/>
      </w:tcPr>
    </w:tblStylePr>
    <w:tblStylePr w:type="band1Vert">
      <w:tblPr/>
      <w:tcPr>
        <w:tcBorders>
          <w:top w:val="nil"/>
          <w:left w:val="nil"/>
          <w:bottom w:val="nil"/>
          <w:right w:val="nil"/>
          <w:insideH w:val="nil"/>
          <w:insideV w:val="nil"/>
        </w:tcBorders>
        <w:shd w:val="clear" w:color="auto" w:fill="959595" w:themeFill="accent3" w:themeFillShade="BF"/>
      </w:tcPr>
    </w:tblStylePr>
    <w:tblStylePr w:type="band1Horz">
      <w:tblPr/>
      <w:tcPr>
        <w:tcBorders>
          <w:top w:val="nil"/>
          <w:left w:val="nil"/>
          <w:bottom w:val="nil"/>
          <w:right w:val="nil"/>
          <w:insideH w:val="nil"/>
          <w:insideV w:val="nil"/>
        </w:tcBorders>
        <w:shd w:val="clear" w:color="auto" w:fill="959595" w:themeFill="accent3" w:themeFillShade="BF"/>
      </w:tcPr>
    </w:tblStylePr>
  </w:style>
  <w:style w:type="table" w:styleId="DarkList-Accent4">
    <w:name w:val="Dark List Accent 4"/>
    <w:basedOn w:val="TableNormal"/>
    <w:uiPriority w:val="70"/>
    <w:semiHidden/>
    <w:unhideWhenUsed/>
    <w:rsid w:val="009637A8"/>
    <w:pPr>
      <w:spacing w:after="0" w:line="240" w:lineRule="auto"/>
    </w:pPr>
    <w:rPr>
      <w:color w:val="FFFFFF" w:themeColor="background1"/>
    </w:rPr>
    <w:tblPr>
      <w:tblStyleRowBandSize w:val="1"/>
      <w:tblStyleColBandSize w:val="1"/>
    </w:tblPr>
    <w:tcPr>
      <w:shd w:val="clear" w:color="auto" w:fill="006A9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44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4F7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4F77" w:themeFill="accent4" w:themeFillShade="BF"/>
      </w:tcPr>
    </w:tblStylePr>
    <w:tblStylePr w:type="band1Vert">
      <w:tblPr/>
      <w:tcPr>
        <w:tcBorders>
          <w:top w:val="nil"/>
          <w:left w:val="nil"/>
          <w:bottom w:val="nil"/>
          <w:right w:val="nil"/>
          <w:insideH w:val="nil"/>
          <w:insideV w:val="nil"/>
        </w:tcBorders>
        <w:shd w:val="clear" w:color="auto" w:fill="004F77" w:themeFill="accent4" w:themeFillShade="BF"/>
      </w:tcPr>
    </w:tblStylePr>
    <w:tblStylePr w:type="band1Horz">
      <w:tblPr/>
      <w:tcPr>
        <w:tcBorders>
          <w:top w:val="nil"/>
          <w:left w:val="nil"/>
          <w:bottom w:val="nil"/>
          <w:right w:val="nil"/>
          <w:insideH w:val="nil"/>
          <w:insideV w:val="nil"/>
        </w:tcBorders>
        <w:shd w:val="clear" w:color="auto" w:fill="004F77" w:themeFill="accent4" w:themeFillShade="BF"/>
      </w:tcPr>
    </w:tblStylePr>
  </w:style>
  <w:style w:type="table" w:styleId="DarkList-Accent5">
    <w:name w:val="Dark List Accent 5"/>
    <w:basedOn w:val="TableNormal"/>
    <w:uiPriority w:val="70"/>
    <w:semiHidden/>
    <w:unhideWhenUsed/>
    <w:rsid w:val="009637A8"/>
    <w:pPr>
      <w:spacing w:after="0" w:line="240" w:lineRule="auto"/>
    </w:pPr>
    <w:rPr>
      <w:color w:val="FFFFFF" w:themeColor="background1"/>
    </w:rPr>
    <w:tblPr>
      <w:tblStyleRowBandSize w:val="1"/>
      <w:tblStyleColBandSize w:val="1"/>
    </w:tblPr>
    <w:tcPr>
      <w:shd w:val="clear" w:color="auto" w:fill="7BBDD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7677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C9BC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C9BC0" w:themeFill="accent5" w:themeFillShade="BF"/>
      </w:tcPr>
    </w:tblStylePr>
    <w:tblStylePr w:type="band1Vert">
      <w:tblPr/>
      <w:tcPr>
        <w:tcBorders>
          <w:top w:val="nil"/>
          <w:left w:val="nil"/>
          <w:bottom w:val="nil"/>
          <w:right w:val="nil"/>
          <w:insideH w:val="nil"/>
          <w:insideV w:val="nil"/>
        </w:tcBorders>
        <w:shd w:val="clear" w:color="auto" w:fill="3C9BC0" w:themeFill="accent5" w:themeFillShade="BF"/>
      </w:tcPr>
    </w:tblStylePr>
    <w:tblStylePr w:type="band1Horz">
      <w:tblPr/>
      <w:tcPr>
        <w:tcBorders>
          <w:top w:val="nil"/>
          <w:left w:val="nil"/>
          <w:bottom w:val="nil"/>
          <w:right w:val="nil"/>
          <w:insideH w:val="nil"/>
          <w:insideV w:val="nil"/>
        </w:tcBorders>
        <w:shd w:val="clear" w:color="auto" w:fill="3C9BC0" w:themeFill="accent5" w:themeFillShade="BF"/>
      </w:tcPr>
    </w:tblStylePr>
  </w:style>
  <w:style w:type="table" w:styleId="DarkList-Accent6">
    <w:name w:val="Dark List Accent 6"/>
    <w:basedOn w:val="TableNormal"/>
    <w:uiPriority w:val="70"/>
    <w:semiHidden/>
    <w:unhideWhenUsed/>
    <w:rsid w:val="009637A8"/>
    <w:pPr>
      <w:spacing w:after="0" w:line="240" w:lineRule="auto"/>
    </w:pPr>
    <w:rPr>
      <w:color w:val="FFFFFF" w:themeColor="background1"/>
    </w:rPr>
    <w:tblPr>
      <w:tblStyleRowBandSize w:val="1"/>
      <w:tblStyleColBandSize w:val="1"/>
    </w:tblPr>
    <w:tcPr>
      <w:shd w:val="clear" w:color="auto" w:fill="428D5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1462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1693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1693D" w:themeFill="accent6" w:themeFillShade="BF"/>
      </w:tcPr>
    </w:tblStylePr>
    <w:tblStylePr w:type="band1Vert">
      <w:tblPr/>
      <w:tcPr>
        <w:tcBorders>
          <w:top w:val="nil"/>
          <w:left w:val="nil"/>
          <w:bottom w:val="nil"/>
          <w:right w:val="nil"/>
          <w:insideH w:val="nil"/>
          <w:insideV w:val="nil"/>
        </w:tcBorders>
        <w:shd w:val="clear" w:color="auto" w:fill="31693D" w:themeFill="accent6" w:themeFillShade="BF"/>
      </w:tcPr>
    </w:tblStylePr>
    <w:tblStylePr w:type="band1Horz">
      <w:tblPr/>
      <w:tcPr>
        <w:tcBorders>
          <w:top w:val="nil"/>
          <w:left w:val="nil"/>
          <w:bottom w:val="nil"/>
          <w:right w:val="nil"/>
          <w:insideH w:val="nil"/>
          <w:insideV w:val="nil"/>
        </w:tcBorders>
        <w:shd w:val="clear" w:color="auto" w:fill="31693D" w:themeFill="accent6" w:themeFillShade="BF"/>
      </w:tcPr>
    </w:tblStylePr>
  </w:style>
  <w:style w:type="paragraph" w:styleId="Date">
    <w:name w:val="Date"/>
    <w:basedOn w:val="Normal"/>
    <w:next w:val="Normal"/>
    <w:link w:val="DateChar"/>
    <w:uiPriority w:val="99"/>
    <w:semiHidden/>
    <w:unhideWhenUsed/>
    <w:rsid w:val="009637A8"/>
    <w:pPr>
      <w:spacing w:after="160" w:line="259" w:lineRule="auto"/>
    </w:pPr>
  </w:style>
  <w:style w:type="character" w:customStyle="1" w:styleId="DateChar">
    <w:name w:val="Date Char"/>
    <w:basedOn w:val="DefaultParagraphFont"/>
    <w:link w:val="Date"/>
    <w:uiPriority w:val="99"/>
    <w:semiHidden/>
    <w:rsid w:val="009637A8"/>
    <w:rPr>
      <w:rFonts w:ascii="Arial" w:hAnsi="Arial" w:cs="Arial"/>
    </w:rPr>
  </w:style>
  <w:style w:type="paragraph" w:styleId="DocumentMap">
    <w:name w:val="Document Map"/>
    <w:basedOn w:val="Normal"/>
    <w:link w:val="DocumentMapChar"/>
    <w:uiPriority w:val="99"/>
    <w:semiHidden/>
    <w:unhideWhenUsed/>
    <w:rsid w:val="009637A8"/>
    <w:pPr>
      <w:spacing w:after="0"/>
    </w:pPr>
    <w:rPr>
      <w:sz w:val="16"/>
      <w:szCs w:val="16"/>
    </w:rPr>
  </w:style>
  <w:style w:type="character" w:customStyle="1" w:styleId="DocumentMapChar">
    <w:name w:val="Document Map Char"/>
    <w:basedOn w:val="DefaultParagraphFont"/>
    <w:link w:val="DocumentMap"/>
    <w:uiPriority w:val="99"/>
    <w:semiHidden/>
    <w:rsid w:val="009637A8"/>
    <w:rPr>
      <w:rFonts w:ascii="Arial" w:hAnsi="Arial" w:cs="Arial"/>
      <w:sz w:val="16"/>
      <w:szCs w:val="16"/>
    </w:rPr>
  </w:style>
  <w:style w:type="paragraph" w:styleId="EmailSignature">
    <w:name w:val="E-mail Signature"/>
    <w:basedOn w:val="Normal"/>
    <w:link w:val="EmailSignatureChar"/>
    <w:uiPriority w:val="99"/>
    <w:semiHidden/>
    <w:unhideWhenUsed/>
    <w:rsid w:val="009637A8"/>
    <w:pPr>
      <w:spacing w:after="0"/>
    </w:pPr>
  </w:style>
  <w:style w:type="character" w:customStyle="1" w:styleId="EmailSignatureChar">
    <w:name w:val="Email Signature Char"/>
    <w:basedOn w:val="DefaultParagraphFont"/>
    <w:link w:val="EmailSignature"/>
    <w:uiPriority w:val="99"/>
    <w:semiHidden/>
    <w:rsid w:val="009637A8"/>
    <w:rPr>
      <w:rFonts w:ascii="Arial" w:hAnsi="Arial" w:cs="Arial"/>
    </w:rPr>
  </w:style>
  <w:style w:type="character" w:styleId="Emphasis">
    <w:name w:val="Emphasis"/>
    <w:basedOn w:val="DefaultParagraphFont"/>
    <w:uiPriority w:val="20"/>
    <w:qFormat/>
    <w:rsid w:val="009637A8"/>
    <w:rPr>
      <w:i/>
      <w:iCs/>
    </w:rPr>
  </w:style>
  <w:style w:type="character" w:styleId="EndnoteReference">
    <w:name w:val="endnote reference"/>
    <w:basedOn w:val="DefaultParagraphFont"/>
    <w:uiPriority w:val="99"/>
    <w:semiHidden/>
    <w:unhideWhenUsed/>
    <w:rsid w:val="009637A8"/>
    <w:rPr>
      <w:vertAlign w:val="superscript"/>
    </w:rPr>
  </w:style>
  <w:style w:type="paragraph" w:styleId="EndnoteText">
    <w:name w:val="endnote text"/>
    <w:basedOn w:val="Normal"/>
    <w:link w:val="EndnoteTextChar"/>
    <w:uiPriority w:val="99"/>
    <w:semiHidden/>
    <w:unhideWhenUsed/>
    <w:rsid w:val="009637A8"/>
    <w:pPr>
      <w:spacing w:after="0"/>
    </w:pPr>
    <w:rPr>
      <w:sz w:val="20"/>
      <w:szCs w:val="20"/>
    </w:rPr>
  </w:style>
  <w:style w:type="character" w:customStyle="1" w:styleId="EndnoteTextChar">
    <w:name w:val="Endnote Text Char"/>
    <w:basedOn w:val="DefaultParagraphFont"/>
    <w:link w:val="EndnoteText"/>
    <w:uiPriority w:val="99"/>
    <w:semiHidden/>
    <w:rsid w:val="009637A8"/>
    <w:rPr>
      <w:rFonts w:ascii="Arial" w:hAnsi="Arial" w:cs="Arial"/>
      <w:sz w:val="20"/>
      <w:szCs w:val="20"/>
    </w:rPr>
  </w:style>
  <w:style w:type="paragraph" w:styleId="EnvelopeAddress">
    <w:name w:val="envelope address"/>
    <w:basedOn w:val="Normal"/>
    <w:uiPriority w:val="99"/>
    <w:semiHidden/>
    <w:unhideWhenUsed/>
    <w:rsid w:val="009637A8"/>
    <w:pPr>
      <w:framePr w:w="7920" w:h="1980" w:hRule="exact" w:hSpace="180" w:wrap="auto" w:hAnchor="page" w:xAlign="center" w:yAlign="bottom"/>
      <w:spacing w:after="0"/>
      <w:ind w:left="2880"/>
    </w:pPr>
    <w:rPr>
      <w:rFonts w:eastAsiaTheme="majorEastAsia"/>
      <w:sz w:val="24"/>
      <w:szCs w:val="24"/>
    </w:rPr>
  </w:style>
  <w:style w:type="paragraph" w:styleId="EnvelopeReturn">
    <w:name w:val="envelope return"/>
    <w:basedOn w:val="Normal"/>
    <w:uiPriority w:val="99"/>
    <w:semiHidden/>
    <w:unhideWhenUsed/>
    <w:rsid w:val="009637A8"/>
    <w:pPr>
      <w:spacing w:after="0"/>
    </w:pPr>
    <w:rPr>
      <w:rFonts w:eastAsiaTheme="majorEastAsia"/>
      <w:sz w:val="20"/>
      <w:szCs w:val="20"/>
    </w:rPr>
  </w:style>
  <w:style w:type="character" w:styleId="FollowedHyperlink">
    <w:name w:val="FollowedHyperlink"/>
    <w:basedOn w:val="DefaultParagraphFont"/>
    <w:uiPriority w:val="99"/>
    <w:semiHidden/>
    <w:unhideWhenUsed/>
    <w:rsid w:val="009637A8"/>
    <w:rPr>
      <w:color w:val="9FD18B" w:themeColor="followedHyperlink"/>
      <w:u w:val="single"/>
    </w:rPr>
  </w:style>
  <w:style w:type="paragraph" w:styleId="Footer">
    <w:name w:val="footer"/>
    <w:basedOn w:val="Normal-nospace"/>
    <w:link w:val="FooterChar"/>
    <w:uiPriority w:val="99"/>
    <w:unhideWhenUsed/>
    <w:rsid w:val="00B649EB"/>
    <w:pPr>
      <w:tabs>
        <w:tab w:val="center" w:pos="4513"/>
        <w:tab w:val="right" w:pos="9026"/>
      </w:tabs>
      <w:spacing w:line="240" w:lineRule="auto"/>
    </w:pPr>
    <w:rPr>
      <w:rFonts w:ascii="Yu Gothic Medium" w:hAnsi="Yu Gothic Medium"/>
      <w:sz w:val="15"/>
    </w:rPr>
  </w:style>
  <w:style w:type="character" w:customStyle="1" w:styleId="FooterChar">
    <w:name w:val="Footer Char"/>
    <w:basedOn w:val="DefaultParagraphFont"/>
    <w:link w:val="Footer"/>
    <w:uiPriority w:val="99"/>
    <w:rsid w:val="00B649EB"/>
    <w:rPr>
      <w:rFonts w:ascii="Yu Gothic Medium" w:hAnsi="Yu Gothic Medium" w:cs="Arial"/>
      <w:sz w:val="15"/>
    </w:rPr>
  </w:style>
  <w:style w:type="character" w:styleId="FootnoteReference">
    <w:name w:val="footnote reference"/>
    <w:basedOn w:val="DefaultParagraphFont"/>
    <w:uiPriority w:val="99"/>
    <w:semiHidden/>
    <w:unhideWhenUsed/>
    <w:rsid w:val="009637A8"/>
    <w:rPr>
      <w:vertAlign w:val="superscript"/>
    </w:rPr>
  </w:style>
  <w:style w:type="paragraph" w:styleId="FootnoteText">
    <w:name w:val="footnote text"/>
    <w:basedOn w:val="Normal-nospace"/>
    <w:link w:val="FootnoteTextChar"/>
    <w:uiPriority w:val="99"/>
    <w:semiHidden/>
    <w:unhideWhenUsed/>
    <w:rsid w:val="001E7AB7"/>
    <w:pPr>
      <w:spacing w:after="30" w:line="240" w:lineRule="auto"/>
    </w:pPr>
    <w:rPr>
      <w:sz w:val="18"/>
      <w:szCs w:val="20"/>
    </w:rPr>
  </w:style>
  <w:style w:type="character" w:customStyle="1" w:styleId="FootnoteTextChar">
    <w:name w:val="Footnote Text Char"/>
    <w:basedOn w:val="DefaultParagraphFont"/>
    <w:link w:val="FootnoteText"/>
    <w:uiPriority w:val="99"/>
    <w:semiHidden/>
    <w:rsid w:val="001E7AB7"/>
    <w:rPr>
      <w:rFonts w:ascii="Arial Narrow" w:hAnsi="Arial Narrow" w:cs="Arial"/>
      <w:color w:val="000100"/>
      <w:sz w:val="18"/>
      <w:szCs w:val="20"/>
    </w:rPr>
  </w:style>
  <w:style w:type="table" w:styleId="GridTable1Light">
    <w:name w:val="Grid Table 1 Light"/>
    <w:basedOn w:val="TableNormal"/>
    <w:uiPriority w:val="46"/>
    <w:rsid w:val="009637A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637A8"/>
    <w:pPr>
      <w:spacing w:after="0" w:line="240" w:lineRule="auto"/>
    </w:pPr>
    <w:tblPr>
      <w:tblStyleRowBandSize w:val="1"/>
      <w:tblStyleColBandSize w:val="1"/>
      <w:tblBorders>
        <w:top w:val="single" w:sz="4" w:space="0" w:color="D7CEE5" w:themeColor="accent1" w:themeTint="66"/>
        <w:left w:val="single" w:sz="4" w:space="0" w:color="D7CEE5" w:themeColor="accent1" w:themeTint="66"/>
        <w:bottom w:val="single" w:sz="4" w:space="0" w:color="D7CEE5" w:themeColor="accent1" w:themeTint="66"/>
        <w:right w:val="single" w:sz="4" w:space="0" w:color="D7CEE5" w:themeColor="accent1" w:themeTint="66"/>
        <w:insideH w:val="single" w:sz="4" w:space="0" w:color="D7CEE5" w:themeColor="accent1" w:themeTint="66"/>
        <w:insideV w:val="single" w:sz="4" w:space="0" w:color="D7CEE5" w:themeColor="accent1" w:themeTint="66"/>
      </w:tblBorders>
    </w:tblPr>
    <w:tblStylePr w:type="firstRow">
      <w:rPr>
        <w:b/>
        <w:bCs/>
      </w:rPr>
      <w:tblPr/>
      <w:tcPr>
        <w:tcBorders>
          <w:bottom w:val="single" w:sz="12" w:space="0" w:color="C4B5D8" w:themeColor="accent1" w:themeTint="99"/>
        </w:tcBorders>
      </w:tcPr>
    </w:tblStylePr>
    <w:tblStylePr w:type="lastRow">
      <w:rPr>
        <w:b/>
        <w:bCs/>
      </w:rPr>
      <w:tblPr/>
      <w:tcPr>
        <w:tcBorders>
          <w:top w:val="double" w:sz="2" w:space="0" w:color="C4B5D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637A8"/>
    <w:pPr>
      <w:spacing w:after="0" w:line="240" w:lineRule="auto"/>
    </w:pPr>
    <w:tblPr>
      <w:tblStyleRowBandSize w:val="1"/>
      <w:tblStyleColBandSize w:val="1"/>
      <w:tblBorders>
        <w:top w:val="single" w:sz="4" w:space="0" w:color="CBCBCB" w:themeColor="accent2" w:themeTint="66"/>
        <w:left w:val="single" w:sz="4" w:space="0" w:color="CBCBCB" w:themeColor="accent2" w:themeTint="66"/>
        <w:bottom w:val="single" w:sz="4" w:space="0" w:color="CBCBCB" w:themeColor="accent2" w:themeTint="66"/>
        <w:right w:val="single" w:sz="4" w:space="0" w:color="CBCBCB" w:themeColor="accent2" w:themeTint="66"/>
        <w:insideH w:val="single" w:sz="4" w:space="0" w:color="CBCBCB" w:themeColor="accent2" w:themeTint="66"/>
        <w:insideV w:val="single" w:sz="4" w:space="0" w:color="CBCBCB" w:themeColor="accent2" w:themeTint="66"/>
      </w:tblBorders>
    </w:tblPr>
    <w:tblStylePr w:type="firstRow">
      <w:rPr>
        <w:b/>
        <w:bCs/>
      </w:rPr>
      <w:tblPr/>
      <w:tcPr>
        <w:tcBorders>
          <w:bottom w:val="single" w:sz="12" w:space="0" w:color="B1B1B1" w:themeColor="accent2" w:themeTint="99"/>
        </w:tcBorders>
      </w:tcPr>
    </w:tblStylePr>
    <w:tblStylePr w:type="lastRow">
      <w:rPr>
        <w:b/>
        <w:bCs/>
      </w:rPr>
      <w:tblPr/>
      <w:tcPr>
        <w:tcBorders>
          <w:top w:val="double" w:sz="2" w:space="0" w:color="B1B1B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637A8"/>
    <w:pPr>
      <w:spacing w:after="0" w:line="240" w:lineRule="auto"/>
    </w:pPr>
    <w:tblPr>
      <w:tblStyleRowBandSize w:val="1"/>
      <w:tblStyleColBandSize w:val="1"/>
      <w:tblBorders>
        <w:top w:val="single" w:sz="4" w:space="0" w:color="E9E9E9" w:themeColor="accent3" w:themeTint="66"/>
        <w:left w:val="single" w:sz="4" w:space="0" w:color="E9E9E9" w:themeColor="accent3" w:themeTint="66"/>
        <w:bottom w:val="single" w:sz="4" w:space="0" w:color="E9E9E9" w:themeColor="accent3" w:themeTint="66"/>
        <w:right w:val="single" w:sz="4" w:space="0" w:color="E9E9E9" w:themeColor="accent3" w:themeTint="66"/>
        <w:insideH w:val="single" w:sz="4" w:space="0" w:color="E9E9E9" w:themeColor="accent3" w:themeTint="66"/>
        <w:insideV w:val="single" w:sz="4" w:space="0" w:color="E9E9E9" w:themeColor="accent3" w:themeTint="66"/>
      </w:tblBorders>
    </w:tblPr>
    <w:tblStylePr w:type="firstRow">
      <w:rPr>
        <w:b/>
        <w:bCs/>
      </w:rPr>
      <w:tblPr/>
      <w:tcPr>
        <w:tcBorders>
          <w:bottom w:val="single" w:sz="12" w:space="0" w:color="DEDEDE" w:themeColor="accent3" w:themeTint="99"/>
        </w:tcBorders>
      </w:tcPr>
    </w:tblStylePr>
    <w:tblStylePr w:type="lastRow">
      <w:rPr>
        <w:b/>
        <w:bCs/>
      </w:rPr>
      <w:tblPr/>
      <w:tcPr>
        <w:tcBorders>
          <w:top w:val="double" w:sz="2" w:space="0" w:color="DEDED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637A8"/>
    <w:pPr>
      <w:spacing w:after="0" w:line="240" w:lineRule="auto"/>
    </w:pPr>
    <w:tblPr>
      <w:tblStyleRowBandSize w:val="1"/>
      <w:tblStyleColBandSize w:val="1"/>
      <w:tblBorders>
        <w:top w:val="single" w:sz="4" w:space="0" w:color="72D0FF" w:themeColor="accent4" w:themeTint="66"/>
        <w:left w:val="single" w:sz="4" w:space="0" w:color="72D0FF" w:themeColor="accent4" w:themeTint="66"/>
        <w:bottom w:val="single" w:sz="4" w:space="0" w:color="72D0FF" w:themeColor="accent4" w:themeTint="66"/>
        <w:right w:val="single" w:sz="4" w:space="0" w:color="72D0FF" w:themeColor="accent4" w:themeTint="66"/>
        <w:insideH w:val="single" w:sz="4" w:space="0" w:color="72D0FF" w:themeColor="accent4" w:themeTint="66"/>
        <w:insideV w:val="single" w:sz="4" w:space="0" w:color="72D0FF" w:themeColor="accent4" w:themeTint="66"/>
      </w:tblBorders>
    </w:tblPr>
    <w:tblStylePr w:type="firstRow">
      <w:rPr>
        <w:b/>
        <w:bCs/>
      </w:rPr>
      <w:tblPr/>
      <w:tcPr>
        <w:tcBorders>
          <w:bottom w:val="single" w:sz="12" w:space="0" w:color="2CB8FF" w:themeColor="accent4" w:themeTint="99"/>
        </w:tcBorders>
      </w:tcPr>
    </w:tblStylePr>
    <w:tblStylePr w:type="lastRow">
      <w:rPr>
        <w:b/>
        <w:bCs/>
      </w:rPr>
      <w:tblPr/>
      <w:tcPr>
        <w:tcBorders>
          <w:top w:val="double" w:sz="2" w:space="0" w:color="2CB8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637A8"/>
    <w:pPr>
      <w:spacing w:after="0" w:line="240" w:lineRule="auto"/>
    </w:pPr>
    <w:tblPr>
      <w:tblStyleRowBandSize w:val="1"/>
      <w:tblStyleColBandSize w:val="1"/>
      <w:tblBorders>
        <w:top w:val="single" w:sz="4" w:space="0" w:color="CAE4EE" w:themeColor="accent5" w:themeTint="66"/>
        <w:left w:val="single" w:sz="4" w:space="0" w:color="CAE4EE" w:themeColor="accent5" w:themeTint="66"/>
        <w:bottom w:val="single" w:sz="4" w:space="0" w:color="CAE4EE" w:themeColor="accent5" w:themeTint="66"/>
        <w:right w:val="single" w:sz="4" w:space="0" w:color="CAE4EE" w:themeColor="accent5" w:themeTint="66"/>
        <w:insideH w:val="single" w:sz="4" w:space="0" w:color="CAE4EE" w:themeColor="accent5" w:themeTint="66"/>
        <w:insideV w:val="single" w:sz="4" w:space="0" w:color="CAE4EE" w:themeColor="accent5" w:themeTint="66"/>
      </w:tblBorders>
    </w:tblPr>
    <w:tblStylePr w:type="firstRow">
      <w:rPr>
        <w:b/>
        <w:bCs/>
      </w:rPr>
      <w:tblPr/>
      <w:tcPr>
        <w:tcBorders>
          <w:bottom w:val="single" w:sz="12" w:space="0" w:color="AFD7E6" w:themeColor="accent5" w:themeTint="99"/>
        </w:tcBorders>
      </w:tcPr>
    </w:tblStylePr>
    <w:tblStylePr w:type="lastRow">
      <w:rPr>
        <w:b/>
        <w:bCs/>
      </w:rPr>
      <w:tblPr/>
      <w:tcPr>
        <w:tcBorders>
          <w:top w:val="double" w:sz="2" w:space="0" w:color="AFD7E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637A8"/>
    <w:pPr>
      <w:spacing w:after="0" w:line="240" w:lineRule="auto"/>
    </w:pPr>
    <w:tblPr>
      <w:tblStyleRowBandSize w:val="1"/>
      <w:tblStyleColBandSize w:val="1"/>
      <w:tblBorders>
        <w:top w:val="single" w:sz="4" w:space="0" w:color="ACD8B5" w:themeColor="accent6" w:themeTint="66"/>
        <w:left w:val="single" w:sz="4" w:space="0" w:color="ACD8B5" w:themeColor="accent6" w:themeTint="66"/>
        <w:bottom w:val="single" w:sz="4" w:space="0" w:color="ACD8B5" w:themeColor="accent6" w:themeTint="66"/>
        <w:right w:val="single" w:sz="4" w:space="0" w:color="ACD8B5" w:themeColor="accent6" w:themeTint="66"/>
        <w:insideH w:val="single" w:sz="4" w:space="0" w:color="ACD8B5" w:themeColor="accent6" w:themeTint="66"/>
        <w:insideV w:val="single" w:sz="4" w:space="0" w:color="ACD8B5" w:themeColor="accent6" w:themeTint="66"/>
      </w:tblBorders>
    </w:tblPr>
    <w:tblStylePr w:type="firstRow">
      <w:rPr>
        <w:b/>
        <w:bCs/>
      </w:rPr>
      <w:tblPr/>
      <w:tcPr>
        <w:tcBorders>
          <w:bottom w:val="single" w:sz="12" w:space="0" w:color="83C590" w:themeColor="accent6" w:themeTint="99"/>
        </w:tcBorders>
      </w:tcPr>
    </w:tblStylePr>
    <w:tblStylePr w:type="lastRow">
      <w:rPr>
        <w:b/>
        <w:bCs/>
      </w:rPr>
      <w:tblPr/>
      <w:tcPr>
        <w:tcBorders>
          <w:top w:val="double" w:sz="2" w:space="0" w:color="83C59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637A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637A8"/>
    <w:pPr>
      <w:spacing w:after="0" w:line="240" w:lineRule="auto"/>
    </w:pPr>
    <w:tblPr>
      <w:tblStyleRowBandSize w:val="1"/>
      <w:tblStyleColBandSize w:val="1"/>
      <w:tblBorders>
        <w:top w:val="single" w:sz="2" w:space="0" w:color="C4B5D8" w:themeColor="accent1" w:themeTint="99"/>
        <w:bottom w:val="single" w:sz="2" w:space="0" w:color="C4B5D8" w:themeColor="accent1" w:themeTint="99"/>
        <w:insideH w:val="single" w:sz="2" w:space="0" w:color="C4B5D8" w:themeColor="accent1" w:themeTint="99"/>
        <w:insideV w:val="single" w:sz="2" w:space="0" w:color="C4B5D8" w:themeColor="accent1" w:themeTint="99"/>
      </w:tblBorders>
    </w:tblPr>
    <w:tblStylePr w:type="firstRow">
      <w:rPr>
        <w:b/>
        <w:bCs/>
      </w:rPr>
      <w:tblPr/>
      <w:tcPr>
        <w:tcBorders>
          <w:top w:val="nil"/>
          <w:bottom w:val="single" w:sz="12" w:space="0" w:color="C4B5D8" w:themeColor="accent1" w:themeTint="99"/>
          <w:insideH w:val="nil"/>
          <w:insideV w:val="nil"/>
        </w:tcBorders>
        <w:shd w:val="clear" w:color="auto" w:fill="FFFFFF" w:themeFill="background1"/>
      </w:tcPr>
    </w:tblStylePr>
    <w:tblStylePr w:type="lastRow">
      <w:rPr>
        <w:b/>
        <w:bCs/>
      </w:rPr>
      <w:tblPr/>
      <w:tcPr>
        <w:tcBorders>
          <w:top w:val="double" w:sz="2" w:space="0" w:color="C4B5D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GridTable2-Accent2">
    <w:name w:val="Grid Table 2 Accent 2"/>
    <w:basedOn w:val="TableNormal"/>
    <w:uiPriority w:val="47"/>
    <w:rsid w:val="009637A8"/>
    <w:pPr>
      <w:spacing w:after="0" w:line="240" w:lineRule="auto"/>
    </w:pPr>
    <w:tblPr>
      <w:tblStyleRowBandSize w:val="1"/>
      <w:tblStyleColBandSize w:val="1"/>
      <w:tblBorders>
        <w:top w:val="single" w:sz="2" w:space="0" w:color="B1B1B1" w:themeColor="accent2" w:themeTint="99"/>
        <w:bottom w:val="single" w:sz="2" w:space="0" w:color="B1B1B1" w:themeColor="accent2" w:themeTint="99"/>
        <w:insideH w:val="single" w:sz="2" w:space="0" w:color="B1B1B1" w:themeColor="accent2" w:themeTint="99"/>
        <w:insideV w:val="single" w:sz="2" w:space="0" w:color="B1B1B1" w:themeColor="accent2" w:themeTint="99"/>
      </w:tblBorders>
    </w:tblPr>
    <w:tblStylePr w:type="firstRow">
      <w:rPr>
        <w:b/>
        <w:bCs/>
      </w:rPr>
      <w:tblPr/>
      <w:tcPr>
        <w:tcBorders>
          <w:top w:val="nil"/>
          <w:bottom w:val="single" w:sz="12" w:space="0" w:color="B1B1B1" w:themeColor="accent2" w:themeTint="99"/>
          <w:insideH w:val="nil"/>
          <w:insideV w:val="nil"/>
        </w:tcBorders>
        <w:shd w:val="clear" w:color="auto" w:fill="FFFFFF" w:themeFill="background1"/>
      </w:tcPr>
    </w:tblStylePr>
    <w:tblStylePr w:type="lastRow">
      <w:rPr>
        <w:b/>
        <w:bCs/>
      </w:rPr>
      <w:tblPr/>
      <w:tcPr>
        <w:tcBorders>
          <w:top w:val="double" w:sz="2" w:space="0" w:color="B1B1B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GridTable2-Accent3">
    <w:name w:val="Grid Table 2 Accent 3"/>
    <w:basedOn w:val="TableNormal"/>
    <w:uiPriority w:val="47"/>
    <w:rsid w:val="009637A8"/>
    <w:pPr>
      <w:spacing w:after="0" w:line="240" w:lineRule="auto"/>
    </w:pPr>
    <w:tblPr>
      <w:tblStyleRowBandSize w:val="1"/>
      <w:tblStyleColBandSize w:val="1"/>
      <w:tblBorders>
        <w:top w:val="single" w:sz="2" w:space="0" w:color="DEDEDE" w:themeColor="accent3" w:themeTint="99"/>
        <w:bottom w:val="single" w:sz="2" w:space="0" w:color="DEDEDE" w:themeColor="accent3" w:themeTint="99"/>
        <w:insideH w:val="single" w:sz="2" w:space="0" w:color="DEDEDE" w:themeColor="accent3" w:themeTint="99"/>
        <w:insideV w:val="single" w:sz="2" w:space="0" w:color="DEDEDE" w:themeColor="accent3" w:themeTint="99"/>
      </w:tblBorders>
    </w:tblPr>
    <w:tblStylePr w:type="firstRow">
      <w:rPr>
        <w:b/>
        <w:bCs/>
      </w:rPr>
      <w:tblPr/>
      <w:tcPr>
        <w:tcBorders>
          <w:top w:val="nil"/>
          <w:bottom w:val="single" w:sz="12" w:space="0" w:color="DEDEDE" w:themeColor="accent3" w:themeTint="99"/>
          <w:insideH w:val="nil"/>
          <w:insideV w:val="nil"/>
        </w:tcBorders>
        <w:shd w:val="clear" w:color="auto" w:fill="FFFFFF" w:themeFill="background1"/>
      </w:tcPr>
    </w:tblStylePr>
    <w:tblStylePr w:type="lastRow">
      <w:rPr>
        <w:b/>
        <w:bCs/>
      </w:rPr>
      <w:tblPr/>
      <w:tcPr>
        <w:tcBorders>
          <w:top w:val="double" w:sz="2" w:space="0" w:color="DEDED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GridTable2-Accent4">
    <w:name w:val="Grid Table 2 Accent 4"/>
    <w:basedOn w:val="TableNormal"/>
    <w:uiPriority w:val="47"/>
    <w:rsid w:val="009637A8"/>
    <w:pPr>
      <w:spacing w:after="0" w:line="240" w:lineRule="auto"/>
    </w:pPr>
    <w:tblPr>
      <w:tblStyleRowBandSize w:val="1"/>
      <w:tblStyleColBandSize w:val="1"/>
      <w:tblBorders>
        <w:top w:val="single" w:sz="2" w:space="0" w:color="2CB8FF" w:themeColor="accent4" w:themeTint="99"/>
        <w:bottom w:val="single" w:sz="2" w:space="0" w:color="2CB8FF" w:themeColor="accent4" w:themeTint="99"/>
        <w:insideH w:val="single" w:sz="2" w:space="0" w:color="2CB8FF" w:themeColor="accent4" w:themeTint="99"/>
        <w:insideV w:val="single" w:sz="2" w:space="0" w:color="2CB8FF" w:themeColor="accent4" w:themeTint="99"/>
      </w:tblBorders>
    </w:tblPr>
    <w:tblStylePr w:type="firstRow">
      <w:rPr>
        <w:b/>
        <w:bCs/>
      </w:rPr>
      <w:tblPr/>
      <w:tcPr>
        <w:tcBorders>
          <w:top w:val="nil"/>
          <w:bottom w:val="single" w:sz="12" w:space="0" w:color="2CB8FF" w:themeColor="accent4" w:themeTint="99"/>
          <w:insideH w:val="nil"/>
          <w:insideV w:val="nil"/>
        </w:tcBorders>
        <w:shd w:val="clear" w:color="auto" w:fill="FFFFFF" w:themeFill="background1"/>
      </w:tcPr>
    </w:tblStylePr>
    <w:tblStylePr w:type="lastRow">
      <w:rPr>
        <w:b/>
        <w:bCs/>
      </w:rPr>
      <w:tblPr/>
      <w:tcPr>
        <w:tcBorders>
          <w:top w:val="double" w:sz="2" w:space="0" w:color="2CB8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GridTable2-Accent5">
    <w:name w:val="Grid Table 2 Accent 5"/>
    <w:basedOn w:val="TableNormal"/>
    <w:uiPriority w:val="47"/>
    <w:rsid w:val="009637A8"/>
    <w:pPr>
      <w:spacing w:after="0" w:line="240" w:lineRule="auto"/>
    </w:pPr>
    <w:tblPr>
      <w:tblStyleRowBandSize w:val="1"/>
      <w:tblStyleColBandSize w:val="1"/>
      <w:tblBorders>
        <w:top w:val="single" w:sz="2" w:space="0" w:color="AFD7E6" w:themeColor="accent5" w:themeTint="99"/>
        <w:bottom w:val="single" w:sz="2" w:space="0" w:color="AFD7E6" w:themeColor="accent5" w:themeTint="99"/>
        <w:insideH w:val="single" w:sz="2" w:space="0" w:color="AFD7E6" w:themeColor="accent5" w:themeTint="99"/>
        <w:insideV w:val="single" w:sz="2" w:space="0" w:color="AFD7E6" w:themeColor="accent5" w:themeTint="99"/>
      </w:tblBorders>
    </w:tblPr>
    <w:tblStylePr w:type="firstRow">
      <w:rPr>
        <w:b/>
        <w:bCs/>
      </w:rPr>
      <w:tblPr/>
      <w:tcPr>
        <w:tcBorders>
          <w:top w:val="nil"/>
          <w:bottom w:val="single" w:sz="12" w:space="0" w:color="AFD7E6" w:themeColor="accent5" w:themeTint="99"/>
          <w:insideH w:val="nil"/>
          <w:insideV w:val="nil"/>
        </w:tcBorders>
        <w:shd w:val="clear" w:color="auto" w:fill="FFFFFF" w:themeFill="background1"/>
      </w:tcPr>
    </w:tblStylePr>
    <w:tblStylePr w:type="lastRow">
      <w:rPr>
        <w:b/>
        <w:bCs/>
      </w:rPr>
      <w:tblPr/>
      <w:tcPr>
        <w:tcBorders>
          <w:top w:val="double" w:sz="2" w:space="0" w:color="AFD7E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GridTable2-Accent6">
    <w:name w:val="Grid Table 2 Accent 6"/>
    <w:basedOn w:val="TableNormal"/>
    <w:uiPriority w:val="47"/>
    <w:rsid w:val="009637A8"/>
    <w:pPr>
      <w:spacing w:after="0" w:line="240" w:lineRule="auto"/>
    </w:pPr>
    <w:tblPr>
      <w:tblStyleRowBandSize w:val="1"/>
      <w:tblStyleColBandSize w:val="1"/>
      <w:tblBorders>
        <w:top w:val="single" w:sz="2" w:space="0" w:color="83C590" w:themeColor="accent6" w:themeTint="99"/>
        <w:bottom w:val="single" w:sz="2" w:space="0" w:color="83C590" w:themeColor="accent6" w:themeTint="99"/>
        <w:insideH w:val="single" w:sz="2" w:space="0" w:color="83C590" w:themeColor="accent6" w:themeTint="99"/>
        <w:insideV w:val="single" w:sz="2" w:space="0" w:color="83C590" w:themeColor="accent6" w:themeTint="99"/>
      </w:tblBorders>
    </w:tblPr>
    <w:tblStylePr w:type="firstRow">
      <w:rPr>
        <w:b/>
        <w:bCs/>
      </w:rPr>
      <w:tblPr/>
      <w:tcPr>
        <w:tcBorders>
          <w:top w:val="nil"/>
          <w:bottom w:val="single" w:sz="12" w:space="0" w:color="83C590" w:themeColor="accent6" w:themeTint="99"/>
          <w:insideH w:val="nil"/>
          <w:insideV w:val="nil"/>
        </w:tcBorders>
        <w:shd w:val="clear" w:color="auto" w:fill="FFFFFF" w:themeFill="background1"/>
      </w:tcPr>
    </w:tblStylePr>
    <w:tblStylePr w:type="lastRow">
      <w:rPr>
        <w:b/>
        <w:bCs/>
      </w:rPr>
      <w:tblPr/>
      <w:tcPr>
        <w:tcBorders>
          <w:top w:val="double" w:sz="2" w:space="0" w:color="83C59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GridTable3">
    <w:name w:val="Grid Table 3"/>
    <w:basedOn w:val="TableNormal"/>
    <w:uiPriority w:val="48"/>
    <w:rsid w:val="009637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637A8"/>
    <w:pPr>
      <w:spacing w:after="0" w:line="240" w:lineRule="auto"/>
    </w:p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insideV w:val="single" w:sz="4" w:space="0" w:color="C4B5D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1" w:themeFillTint="33"/>
      </w:tcPr>
    </w:tblStylePr>
    <w:tblStylePr w:type="band1Horz">
      <w:tblPr/>
      <w:tcPr>
        <w:shd w:val="clear" w:color="auto" w:fill="EBE6F2" w:themeFill="accent1" w:themeFillTint="33"/>
      </w:tcPr>
    </w:tblStylePr>
    <w:tblStylePr w:type="neCell">
      <w:tblPr/>
      <w:tcPr>
        <w:tcBorders>
          <w:bottom w:val="single" w:sz="4" w:space="0" w:color="C4B5D8" w:themeColor="accent1" w:themeTint="99"/>
        </w:tcBorders>
      </w:tcPr>
    </w:tblStylePr>
    <w:tblStylePr w:type="nwCell">
      <w:tblPr/>
      <w:tcPr>
        <w:tcBorders>
          <w:bottom w:val="single" w:sz="4" w:space="0" w:color="C4B5D8" w:themeColor="accent1" w:themeTint="99"/>
        </w:tcBorders>
      </w:tcPr>
    </w:tblStylePr>
    <w:tblStylePr w:type="seCell">
      <w:tblPr/>
      <w:tcPr>
        <w:tcBorders>
          <w:top w:val="single" w:sz="4" w:space="0" w:color="C4B5D8" w:themeColor="accent1" w:themeTint="99"/>
        </w:tcBorders>
      </w:tcPr>
    </w:tblStylePr>
    <w:tblStylePr w:type="swCell">
      <w:tblPr/>
      <w:tcPr>
        <w:tcBorders>
          <w:top w:val="single" w:sz="4" w:space="0" w:color="C4B5D8" w:themeColor="accent1" w:themeTint="99"/>
        </w:tcBorders>
      </w:tcPr>
    </w:tblStylePr>
  </w:style>
  <w:style w:type="table" w:styleId="GridTable3-Accent2">
    <w:name w:val="Grid Table 3 Accent 2"/>
    <w:basedOn w:val="TableNormal"/>
    <w:uiPriority w:val="48"/>
    <w:rsid w:val="009637A8"/>
    <w:pPr>
      <w:spacing w:after="0" w:line="240" w:lineRule="auto"/>
    </w:p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insideV w:val="single" w:sz="4" w:space="0" w:color="B1B1B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2" w:themeFillTint="33"/>
      </w:tcPr>
    </w:tblStylePr>
    <w:tblStylePr w:type="band1Horz">
      <w:tblPr/>
      <w:tcPr>
        <w:shd w:val="clear" w:color="auto" w:fill="E5E5E5" w:themeFill="accent2" w:themeFillTint="33"/>
      </w:tcPr>
    </w:tblStylePr>
    <w:tblStylePr w:type="neCell">
      <w:tblPr/>
      <w:tcPr>
        <w:tcBorders>
          <w:bottom w:val="single" w:sz="4" w:space="0" w:color="B1B1B1" w:themeColor="accent2" w:themeTint="99"/>
        </w:tcBorders>
      </w:tcPr>
    </w:tblStylePr>
    <w:tblStylePr w:type="nwCell">
      <w:tblPr/>
      <w:tcPr>
        <w:tcBorders>
          <w:bottom w:val="single" w:sz="4" w:space="0" w:color="B1B1B1" w:themeColor="accent2" w:themeTint="99"/>
        </w:tcBorders>
      </w:tcPr>
    </w:tblStylePr>
    <w:tblStylePr w:type="seCell">
      <w:tblPr/>
      <w:tcPr>
        <w:tcBorders>
          <w:top w:val="single" w:sz="4" w:space="0" w:color="B1B1B1" w:themeColor="accent2" w:themeTint="99"/>
        </w:tcBorders>
      </w:tcPr>
    </w:tblStylePr>
    <w:tblStylePr w:type="swCell">
      <w:tblPr/>
      <w:tcPr>
        <w:tcBorders>
          <w:top w:val="single" w:sz="4" w:space="0" w:color="B1B1B1" w:themeColor="accent2" w:themeTint="99"/>
        </w:tcBorders>
      </w:tcPr>
    </w:tblStylePr>
  </w:style>
  <w:style w:type="table" w:styleId="GridTable3-Accent3">
    <w:name w:val="Grid Table 3 Accent 3"/>
    <w:basedOn w:val="TableNormal"/>
    <w:uiPriority w:val="48"/>
    <w:rsid w:val="009637A8"/>
    <w:pPr>
      <w:spacing w:after="0" w:line="240" w:lineRule="auto"/>
    </w:p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insideV w:val="single" w:sz="4" w:space="0" w:color="DEDED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3" w:themeFillTint="33"/>
      </w:tcPr>
    </w:tblStylePr>
    <w:tblStylePr w:type="band1Horz">
      <w:tblPr/>
      <w:tcPr>
        <w:shd w:val="clear" w:color="auto" w:fill="F4F4F4" w:themeFill="accent3" w:themeFillTint="33"/>
      </w:tcPr>
    </w:tblStylePr>
    <w:tblStylePr w:type="neCell">
      <w:tblPr/>
      <w:tcPr>
        <w:tcBorders>
          <w:bottom w:val="single" w:sz="4" w:space="0" w:color="DEDEDE" w:themeColor="accent3" w:themeTint="99"/>
        </w:tcBorders>
      </w:tcPr>
    </w:tblStylePr>
    <w:tblStylePr w:type="nwCell">
      <w:tblPr/>
      <w:tcPr>
        <w:tcBorders>
          <w:bottom w:val="single" w:sz="4" w:space="0" w:color="DEDEDE" w:themeColor="accent3" w:themeTint="99"/>
        </w:tcBorders>
      </w:tcPr>
    </w:tblStylePr>
    <w:tblStylePr w:type="seCell">
      <w:tblPr/>
      <w:tcPr>
        <w:tcBorders>
          <w:top w:val="single" w:sz="4" w:space="0" w:color="DEDEDE" w:themeColor="accent3" w:themeTint="99"/>
        </w:tcBorders>
      </w:tcPr>
    </w:tblStylePr>
    <w:tblStylePr w:type="swCell">
      <w:tblPr/>
      <w:tcPr>
        <w:tcBorders>
          <w:top w:val="single" w:sz="4" w:space="0" w:color="DEDEDE" w:themeColor="accent3" w:themeTint="99"/>
        </w:tcBorders>
      </w:tcPr>
    </w:tblStylePr>
  </w:style>
  <w:style w:type="table" w:styleId="GridTable3-Accent4">
    <w:name w:val="Grid Table 3 Accent 4"/>
    <w:basedOn w:val="TableNormal"/>
    <w:uiPriority w:val="48"/>
    <w:rsid w:val="009637A8"/>
    <w:pPr>
      <w:spacing w:after="0" w:line="240" w:lineRule="auto"/>
    </w:p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insideV w:val="single" w:sz="4" w:space="0" w:color="2CB8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7FF" w:themeFill="accent4" w:themeFillTint="33"/>
      </w:tcPr>
    </w:tblStylePr>
    <w:tblStylePr w:type="band1Horz">
      <w:tblPr/>
      <w:tcPr>
        <w:shd w:val="clear" w:color="auto" w:fill="B8E7FF" w:themeFill="accent4" w:themeFillTint="33"/>
      </w:tcPr>
    </w:tblStylePr>
    <w:tblStylePr w:type="neCell">
      <w:tblPr/>
      <w:tcPr>
        <w:tcBorders>
          <w:bottom w:val="single" w:sz="4" w:space="0" w:color="2CB8FF" w:themeColor="accent4" w:themeTint="99"/>
        </w:tcBorders>
      </w:tcPr>
    </w:tblStylePr>
    <w:tblStylePr w:type="nwCell">
      <w:tblPr/>
      <w:tcPr>
        <w:tcBorders>
          <w:bottom w:val="single" w:sz="4" w:space="0" w:color="2CB8FF" w:themeColor="accent4" w:themeTint="99"/>
        </w:tcBorders>
      </w:tcPr>
    </w:tblStylePr>
    <w:tblStylePr w:type="seCell">
      <w:tblPr/>
      <w:tcPr>
        <w:tcBorders>
          <w:top w:val="single" w:sz="4" w:space="0" w:color="2CB8FF" w:themeColor="accent4" w:themeTint="99"/>
        </w:tcBorders>
      </w:tcPr>
    </w:tblStylePr>
    <w:tblStylePr w:type="swCell">
      <w:tblPr/>
      <w:tcPr>
        <w:tcBorders>
          <w:top w:val="single" w:sz="4" w:space="0" w:color="2CB8FF" w:themeColor="accent4" w:themeTint="99"/>
        </w:tcBorders>
      </w:tcPr>
    </w:tblStylePr>
  </w:style>
  <w:style w:type="table" w:styleId="GridTable3-Accent5">
    <w:name w:val="Grid Table 3 Accent 5"/>
    <w:basedOn w:val="TableNormal"/>
    <w:uiPriority w:val="48"/>
    <w:rsid w:val="009637A8"/>
    <w:pPr>
      <w:spacing w:after="0" w:line="240" w:lineRule="auto"/>
    </w:p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insideV w:val="single" w:sz="4" w:space="0" w:color="AFD7E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1F6" w:themeFill="accent5" w:themeFillTint="33"/>
      </w:tcPr>
    </w:tblStylePr>
    <w:tblStylePr w:type="band1Horz">
      <w:tblPr/>
      <w:tcPr>
        <w:shd w:val="clear" w:color="auto" w:fill="E4F1F6" w:themeFill="accent5" w:themeFillTint="33"/>
      </w:tcPr>
    </w:tblStylePr>
    <w:tblStylePr w:type="neCell">
      <w:tblPr/>
      <w:tcPr>
        <w:tcBorders>
          <w:bottom w:val="single" w:sz="4" w:space="0" w:color="AFD7E6" w:themeColor="accent5" w:themeTint="99"/>
        </w:tcBorders>
      </w:tcPr>
    </w:tblStylePr>
    <w:tblStylePr w:type="nwCell">
      <w:tblPr/>
      <w:tcPr>
        <w:tcBorders>
          <w:bottom w:val="single" w:sz="4" w:space="0" w:color="AFD7E6" w:themeColor="accent5" w:themeTint="99"/>
        </w:tcBorders>
      </w:tcPr>
    </w:tblStylePr>
    <w:tblStylePr w:type="seCell">
      <w:tblPr/>
      <w:tcPr>
        <w:tcBorders>
          <w:top w:val="single" w:sz="4" w:space="0" w:color="AFD7E6" w:themeColor="accent5" w:themeTint="99"/>
        </w:tcBorders>
      </w:tcPr>
    </w:tblStylePr>
    <w:tblStylePr w:type="swCell">
      <w:tblPr/>
      <w:tcPr>
        <w:tcBorders>
          <w:top w:val="single" w:sz="4" w:space="0" w:color="AFD7E6" w:themeColor="accent5" w:themeTint="99"/>
        </w:tcBorders>
      </w:tcPr>
    </w:tblStylePr>
  </w:style>
  <w:style w:type="table" w:styleId="GridTable3-Accent6">
    <w:name w:val="Grid Table 3 Accent 6"/>
    <w:basedOn w:val="TableNormal"/>
    <w:uiPriority w:val="48"/>
    <w:rsid w:val="009637A8"/>
    <w:pPr>
      <w:spacing w:after="0" w:line="240" w:lineRule="auto"/>
    </w:p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insideV w:val="single" w:sz="4" w:space="0" w:color="83C5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BDA" w:themeFill="accent6" w:themeFillTint="33"/>
      </w:tcPr>
    </w:tblStylePr>
    <w:tblStylePr w:type="band1Horz">
      <w:tblPr/>
      <w:tcPr>
        <w:shd w:val="clear" w:color="auto" w:fill="D5EBDA" w:themeFill="accent6" w:themeFillTint="33"/>
      </w:tcPr>
    </w:tblStylePr>
    <w:tblStylePr w:type="neCell">
      <w:tblPr/>
      <w:tcPr>
        <w:tcBorders>
          <w:bottom w:val="single" w:sz="4" w:space="0" w:color="83C590" w:themeColor="accent6" w:themeTint="99"/>
        </w:tcBorders>
      </w:tcPr>
    </w:tblStylePr>
    <w:tblStylePr w:type="nwCell">
      <w:tblPr/>
      <w:tcPr>
        <w:tcBorders>
          <w:bottom w:val="single" w:sz="4" w:space="0" w:color="83C590" w:themeColor="accent6" w:themeTint="99"/>
        </w:tcBorders>
      </w:tcPr>
    </w:tblStylePr>
    <w:tblStylePr w:type="seCell">
      <w:tblPr/>
      <w:tcPr>
        <w:tcBorders>
          <w:top w:val="single" w:sz="4" w:space="0" w:color="83C590" w:themeColor="accent6" w:themeTint="99"/>
        </w:tcBorders>
      </w:tcPr>
    </w:tblStylePr>
    <w:tblStylePr w:type="swCell">
      <w:tblPr/>
      <w:tcPr>
        <w:tcBorders>
          <w:top w:val="single" w:sz="4" w:space="0" w:color="83C590" w:themeColor="accent6" w:themeTint="99"/>
        </w:tcBorders>
      </w:tcPr>
    </w:tblStylePr>
  </w:style>
  <w:style w:type="table" w:styleId="GridTable4">
    <w:name w:val="Grid Table 4"/>
    <w:basedOn w:val="TableNormal"/>
    <w:uiPriority w:val="49"/>
    <w:rsid w:val="009637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637A8"/>
    <w:pPr>
      <w:spacing w:after="0" w:line="240" w:lineRule="auto"/>
    </w:p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insideV w:val="single" w:sz="4" w:space="0" w:color="C4B5D8" w:themeColor="accent1" w:themeTint="99"/>
      </w:tblBorders>
    </w:tblPr>
    <w:tblStylePr w:type="firstRow">
      <w:rPr>
        <w:b/>
        <w:bCs/>
        <w:color w:val="FFFFFF" w:themeColor="background1"/>
      </w:rPr>
      <w:tblPr/>
      <w:tcPr>
        <w:tcBorders>
          <w:top w:val="single" w:sz="4" w:space="0" w:color="9D85BE" w:themeColor="accent1"/>
          <w:left w:val="single" w:sz="4" w:space="0" w:color="9D85BE" w:themeColor="accent1"/>
          <w:bottom w:val="single" w:sz="4" w:space="0" w:color="9D85BE" w:themeColor="accent1"/>
          <w:right w:val="single" w:sz="4" w:space="0" w:color="9D85BE" w:themeColor="accent1"/>
          <w:insideH w:val="nil"/>
          <w:insideV w:val="nil"/>
        </w:tcBorders>
        <w:shd w:val="clear" w:color="auto" w:fill="9D85BE" w:themeFill="accent1"/>
      </w:tcPr>
    </w:tblStylePr>
    <w:tblStylePr w:type="lastRow">
      <w:rPr>
        <w:b/>
        <w:bCs/>
      </w:rPr>
      <w:tblPr/>
      <w:tcPr>
        <w:tcBorders>
          <w:top w:val="double" w:sz="4" w:space="0" w:color="9D85BE" w:themeColor="accent1"/>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GridTable4-Accent2">
    <w:name w:val="Grid Table 4 Accent 2"/>
    <w:basedOn w:val="TableNormal"/>
    <w:uiPriority w:val="49"/>
    <w:rsid w:val="009637A8"/>
    <w:pPr>
      <w:spacing w:after="0" w:line="240" w:lineRule="auto"/>
    </w:p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insideV w:val="single" w:sz="4" w:space="0" w:color="B1B1B1" w:themeColor="accent2" w:themeTint="99"/>
      </w:tblBorders>
    </w:tblPr>
    <w:tblStylePr w:type="firstRow">
      <w:rPr>
        <w:b/>
        <w:bCs/>
        <w:color w:val="FFFFFF" w:themeColor="background1"/>
      </w:rPr>
      <w:tblPr/>
      <w:tcPr>
        <w:tcBorders>
          <w:top w:val="single" w:sz="4" w:space="0" w:color="7D7D7D" w:themeColor="accent2"/>
          <w:left w:val="single" w:sz="4" w:space="0" w:color="7D7D7D" w:themeColor="accent2"/>
          <w:bottom w:val="single" w:sz="4" w:space="0" w:color="7D7D7D" w:themeColor="accent2"/>
          <w:right w:val="single" w:sz="4" w:space="0" w:color="7D7D7D" w:themeColor="accent2"/>
          <w:insideH w:val="nil"/>
          <w:insideV w:val="nil"/>
        </w:tcBorders>
        <w:shd w:val="clear" w:color="auto" w:fill="7D7D7D" w:themeFill="accent2"/>
      </w:tcPr>
    </w:tblStylePr>
    <w:tblStylePr w:type="lastRow">
      <w:rPr>
        <w:b/>
        <w:bCs/>
      </w:rPr>
      <w:tblPr/>
      <w:tcPr>
        <w:tcBorders>
          <w:top w:val="double" w:sz="4" w:space="0" w:color="7D7D7D" w:themeColor="accent2"/>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GridTable4-Accent3">
    <w:name w:val="Grid Table 4 Accent 3"/>
    <w:basedOn w:val="TableNormal"/>
    <w:uiPriority w:val="49"/>
    <w:rsid w:val="009637A8"/>
    <w:pPr>
      <w:spacing w:after="0" w:line="240" w:lineRule="auto"/>
    </w:p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insideV w:val="single" w:sz="4" w:space="0" w:color="DEDEDE" w:themeColor="accent3" w:themeTint="99"/>
      </w:tblBorders>
    </w:tblPr>
    <w:tblStylePr w:type="firstRow">
      <w:rPr>
        <w:b/>
        <w:bCs/>
        <w:color w:val="FFFFFF" w:themeColor="background1"/>
      </w:rPr>
      <w:tblPr/>
      <w:tcPr>
        <w:tcBorders>
          <w:top w:val="single" w:sz="4" w:space="0" w:color="C8C8C8" w:themeColor="accent3"/>
          <w:left w:val="single" w:sz="4" w:space="0" w:color="C8C8C8" w:themeColor="accent3"/>
          <w:bottom w:val="single" w:sz="4" w:space="0" w:color="C8C8C8" w:themeColor="accent3"/>
          <w:right w:val="single" w:sz="4" w:space="0" w:color="C8C8C8" w:themeColor="accent3"/>
          <w:insideH w:val="nil"/>
          <w:insideV w:val="nil"/>
        </w:tcBorders>
        <w:shd w:val="clear" w:color="auto" w:fill="C8C8C8" w:themeFill="accent3"/>
      </w:tcPr>
    </w:tblStylePr>
    <w:tblStylePr w:type="lastRow">
      <w:rPr>
        <w:b/>
        <w:bCs/>
      </w:rPr>
      <w:tblPr/>
      <w:tcPr>
        <w:tcBorders>
          <w:top w:val="double" w:sz="4" w:space="0" w:color="C8C8C8" w:themeColor="accent3"/>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GridTable4-Accent4">
    <w:name w:val="Grid Table 4 Accent 4"/>
    <w:basedOn w:val="TableNormal"/>
    <w:uiPriority w:val="49"/>
    <w:rsid w:val="009637A8"/>
    <w:pPr>
      <w:spacing w:after="0" w:line="240" w:lineRule="auto"/>
    </w:p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insideV w:val="single" w:sz="4" w:space="0" w:color="2CB8FF" w:themeColor="accent4" w:themeTint="99"/>
      </w:tblBorders>
    </w:tblPr>
    <w:tblStylePr w:type="firstRow">
      <w:rPr>
        <w:b/>
        <w:bCs/>
        <w:color w:val="FFFFFF" w:themeColor="background1"/>
      </w:rPr>
      <w:tblPr/>
      <w:tcPr>
        <w:tcBorders>
          <w:top w:val="single" w:sz="4" w:space="0" w:color="006A9F" w:themeColor="accent4"/>
          <w:left w:val="single" w:sz="4" w:space="0" w:color="006A9F" w:themeColor="accent4"/>
          <w:bottom w:val="single" w:sz="4" w:space="0" w:color="006A9F" w:themeColor="accent4"/>
          <w:right w:val="single" w:sz="4" w:space="0" w:color="006A9F" w:themeColor="accent4"/>
          <w:insideH w:val="nil"/>
          <w:insideV w:val="nil"/>
        </w:tcBorders>
        <w:shd w:val="clear" w:color="auto" w:fill="006A9F" w:themeFill="accent4"/>
      </w:tcPr>
    </w:tblStylePr>
    <w:tblStylePr w:type="lastRow">
      <w:rPr>
        <w:b/>
        <w:bCs/>
      </w:rPr>
      <w:tblPr/>
      <w:tcPr>
        <w:tcBorders>
          <w:top w:val="double" w:sz="4" w:space="0" w:color="006A9F" w:themeColor="accent4"/>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GridTable4-Accent5">
    <w:name w:val="Grid Table 4 Accent 5"/>
    <w:basedOn w:val="TableNormal"/>
    <w:uiPriority w:val="49"/>
    <w:rsid w:val="009637A8"/>
    <w:pPr>
      <w:spacing w:after="0" w:line="240" w:lineRule="auto"/>
    </w:p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insideV w:val="single" w:sz="4" w:space="0" w:color="AFD7E6" w:themeColor="accent5" w:themeTint="99"/>
      </w:tblBorders>
    </w:tblPr>
    <w:tblStylePr w:type="firstRow">
      <w:rPr>
        <w:b/>
        <w:bCs/>
        <w:color w:val="FFFFFF" w:themeColor="background1"/>
      </w:rPr>
      <w:tblPr/>
      <w:tcPr>
        <w:tcBorders>
          <w:top w:val="single" w:sz="4" w:space="0" w:color="7BBDD6" w:themeColor="accent5"/>
          <w:left w:val="single" w:sz="4" w:space="0" w:color="7BBDD6" w:themeColor="accent5"/>
          <w:bottom w:val="single" w:sz="4" w:space="0" w:color="7BBDD6" w:themeColor="accent5"/>
          <w:right w:val="single" w:sz="4" w:space="0" w:color="7BBDD6" w:themeColor="accent5"/>
          <w:insideH w:val="nil"/>
          <w:insideV w:val="nil"/>
        </w:tcBorders>
        <w:shd w:val="clear" w:color="auto" w:fill="7BBDD6" w:themeFill="accent5"/>
      </w:tcPr>
    </w:tblStylePr>
    <w:tblStylePr w:type="lastRow">
      <w:rPr>
        <w:b/>
        <w:bCs/>
      </w:rPr>
      <w:tblPr/>
      <w:tcPr>
        <w:tcBorders>
          <w:top w:val="double" w:sz="4" w:space="0" w:color="7BBDD6" w:themeColor="accent5"/>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GridTable4-Accent6">
    <w:name w:val="Grid Table 4 Accent 6"/>
    <w:basedOn w:val="TableNormal"/>
    <w:uiPriority w:val="49"/>
    <w:rsid w:val="009637A8"/>
    <w:pPr>
      <w:spacing w:after="0" w:line="240" w:lineRule="auto"/>
    </w:p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insideV w:val="single" w:sz="4" w:space="0" w:color="83C590" w:themeColor="accent6" w:themeTint="99"/>
      </w:tblBorders>
    </w:tblPr>
    <w:tblStylePr w:type="firstRow">
      <w:rPr>
        <w:b/>
        <w:bCs/>
        <w:color w:val="FFFFFF" w:themeColor="background1"/>
      </w:rPr>
      <w:tblPr/>
      <w:tcPr>
        <w:tcBorders>
          <w:top w:val="single" w:sz="4" w:space="0" w:color="428D52" w:themeColor="accent6"/>
          <w:left w:val="single" w:sz="4" w:space="0" w:color="428D52" w:themeColor="accent6"/>
          <w:bottom w:val="single" w:sz="4" w:space="0" w:color="428D52" w:themeColor="accent6"/>
          <w:right w:val="single" w:sz="4" w:space="0" w:color="428D52" w:themeColor="accent6"/>
          <w:insideH w:val="nil"/>
          <w:insideV w:val="nil"/>
        </w:tcBorders>
        <w:shd w:val="clear" w:color="auto" w:fill="428D52" w:themeFill="accent6"/>
      </w:tcPr>
    </w:tblStylePr>
    <w:tblStylePr w:type="lastRow">
      <w:rPr>
        <w:b/>
        <w:bCs/>
      </w:rPr>
      <w:tblPr/>
      <w:tcPr>
        <w:tcBorders>
          <w:top w:val="double" w:sz="4" w:space="0" w:color="428D52" w:themeColor="accent6"/>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GridTable5Dark">
    <w:name w:val="Grid Table 5 Dark"/>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6F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85B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85B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85B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85BE" w:themeFill="accent1"/>
      </w:tcPr>
    </w:tblStylePr>
    <w:tblStylePr w:type="band1Vert">
      <w:tblPr/>
      <w:tcPr>
        <w:shd w:val="clear" w:color="auto" w:fill="D7CEE5" w:themeFill="accent1" w:themeFillTint="66"/>
      </w:tcPr>
    </w:tblStylePr>
    <w:tblStylePr w:type="band1Horz">
      <w:tblPr/>
      <w:tcPr>
        <w:shd w:val="clear" w:color="auto" w:fill="D7CEE5" w:themeFill="accent1" w:themeFillTint="66"/>
      </w:tcPr>
    </w:tblStylePr>
  </w:style>
  <w:style w:type="table" w:styleId="GridTable5Dark-Accent2">
    <w:name w:val="Grid Table 5 Dark Accent 2"/>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7D7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7D7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7D7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7D7D" w:themeFill="accent2"/>
      </w:tcPr>
    </w:tblStylePr>
    <w:tblStylePr w:type="band1Vert">
      <w:tblPr/>
      <w:tcPr>
        <w:shd w:val="clear" w:color="auto" w:fill="CBCBCB" w:themeFill="accent2" w:themeFillTint="66"/>
      </w:tcPr>
    </w:tblStylePr>
    <w:tblStylePr w:type="band1Horz">
      <w:tblPr/>
      <w:tcPr>
        <w:shd w:val="clear" w:color="auto" w:fill="CBCBCB" w:themeFill="accent2" w:themeFillTint="66"/>
      </w:tcPr>
    </w:tblStylePr>
  </w:style>
  <w:style w:type="table" w:styleId="GridTable5Dark-Accent3">
    <w:name w:val="Grid Table 5 Dark Accent 3"/>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4F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C8C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C8C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C8C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C8C8" w:themeFill="accent3"/>
      </w:tcPr>
    </w:tblStylePr>
    <w:tblStylePr w:type="band1Vert">
      <w:tblPr/>
      <w:tcPr>
        <w:shd w:val="clear" w:color="auto" w:fill="E9E9E9" w:themeFill="accent3" w:themeFillTint="66"/>
      </w:tcPr>
    </w:tblStylePr>
    <w:tblStylePr w:type="band1Horz">
      <w:tblPr/>
      <w:tcPr>
        <w:shd w:val="clear" w:color="auto" w:fill="E9E9E9" w:themeFill="accent3" w:themeFillTint="66"/>
      </w:tcPr>
    </w:tblStylePr>
  </w:style>
  <w:style w:type="table" w:styleId="GridTable5Dark-Accent4">
    <w:name w:val="Grid Table 5 Dark Accent 4"/>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E7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A9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A9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A9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A9F" w:themeFill="accent4"/>
      </w:tcPr>
    </w:tblStylePr>
    <w:tblStylePr w:type="band1Vert">
      <w:tblPr/>
      <w:tcPr>
        <w:shd w:val="clear" w:color="auto" w:fill="72D0FF" w:themeFill="accent4" w:themeFillTint="66"/>
      </w:tcPr>
    </w:tblStylePr>
    <w:tblStylePr w:type="band1Horz">
      <w:tblPr/>
      <w:tcPr>
        <w:shd w:val="clear" w:color="auto" w:fill="72D0FF" w:themeFill="accent4" w:themeFillTint="66"/>
      </w:tcPr>
    </w:tblStylePr>
  </w:style>
  <w:style w:type="table" w:styleId="GridTable5Dark-Accent5">
    <w:name w:val="Grid Table 5 Dark Accent 5"/>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1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BDD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BDD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BDD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BDD6" w:themeFill="accent5"/>
      </w:tcPr>
    </w:tblStylePr>
    <w:tblStylePr w:type="band1Vert">
      <w:tblPr/>
      <w:tcPr>
        <w:shd w:val="clear" w:color="auto" w:fill="CAE4EE" w:themeFill="accent5" w:themeFillTint="66"/>
      </w:tcPr>
    </w:tblStylePr>
    <w:tblStylePr w:type="band1Horz">
      <w:tblPr/>
      <w:tcPr>
        <w:shd w:val="clear" w:color="auto" w:fill="CAE4EE" w:themeFill="accent5" w:themeFillTint="66"/>
      </w:tcPr>
    </w:tblStylePr>
  </w:style>
  <w:style w:type="table" w:styleId="GridTable5Dark-Accent6">
    <w:name w:val="Grid Table 5 Dark Accent 6"/>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B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28D5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28D5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28D5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28D52" w:themeFill="accent6"/>
      </w:tcPr>
    </w:tblStylePr>
    <w:tblStylePr w:type="band1Vert">
      <w:tblPr/>
      <w:tcPr>
        <w:shd w:val="clear" w:color="auto" w:fill="ACD8B5" w:themeFill="accent6" w:themeFillTint="66"/>
      </w:tcPr>
    </w:tblStylePr>
    <w:tblStylePr w:type="band1Horz">
      <w:tblPr/>
      <w:tcPr>
        <w:shd w:val="clear" w:color="auto" w:fill="ACD8B5" w:themeFill="accent6" w:themeFillTint="66"/>
      </w:tcPr>
    </w:tblStylePr>
  </w:style>
  <w:style w:type="table" w:styleId="GridTable6Colourful">
    <w:name w:val="Grid Table 6 Colorful"/>
    <w:basedOn w:val="TableNormal"/>
    <w:uiPriority w:val="51"/>
    <w:rsid w:val="009637A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urfulAccent1">
    <w:name w:val="Grid Table 6 Colorful Accent 1"/>
    <w:basedOn w:val="TableNormal"/>
    <w:uiPriority w:val="51"/>
    <w:rsid w:val="009637A8"/>
    <w:pPr>
      <w:spacing w:after="0" w:line="240" w:lineRule="auto"/>
    </w:pPr>
    <w:rPr>
      <w:color w:val="72549D" w:themeColor="accent1" w:themeShade="BF"/>
    </w:r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insideV w:val="single" w:sz="4" w:space="0" w:color="C4B5D8" w:themeColor="accent1" w:themeTint="99"/>
      </w:tblBorders>
    </w:tblPr>
    <w:tblStylePr w:type="firstRow">
      <w:rPr>
        <w:b/>
        <w:bCs/>
      </w:rPr>
      <w:tblPr/>
      <w:tcPr>
        <w:tcBorders>
          <w:bottom w:val="single" w:sz="12" w:space="0" w:color="C4B5D8" w:themeColor="accent1" w:themeTint="99"/>
        </w:tcBorders>
      </w:tcPr>
    </w:tblStylePr>
    <w:tblStylePr w:type="lastRow">
      <w:rPr>
        <w:b/>
        <w:bCs/>
      </w:rPr>
      <w:tblPr/>
      <w:tcPr>
        <w:tcBorders>
          <w:top w:val="double" w:sz="4" w:space="0" w:color="C4B5D8" w:themeColor="accent1" w:themeTint="99"/>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GridTable6ColourfulAccent2">
    <w:name w:val="Grid Table 6 Colorful Accent 2"/>
    <w:basedOn w:val="TableNormal"/>
    <w:uiPriority w:val="51"/>
    <w:rsid w:val="009637A8"/>
    <w:pPr>
      <w:spacing w:after="0" w:line="240" w:lineRule="auto"/>
    </w:pPr>
    <w:rPr>
      <w:color w:val="5D5D5D" w:themeColor="accent2" w:themeShade="BF"/>
    </w:r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insideV w:val="single" w:sz="4" w:space="0" w:color="B1B1B1" w:themeColor="accent2" w:themeTint="99"/>
      </w:tblBorders>
    </w:tblPr>
    <w:tblStylePr w:type="firstRow">
      <w:rPr>
        <w:b/>
        <w:bCs/>
      </w:rPr>
      <w:tblPr/>
      <w:tcPr>
        <w:tcBorders>
          <w:bottom w:val="single" w:sz="12" w:space="0" w:color="B1B1B1" w:themeColor="accent2" w:themeTint="99"/>
        </w:tcBorders>
      </w:tcPr>
    </w:tblStylePr>
    <w:tblStylePr w:type="lastRow">
      <w:rPr>
        <w:b/>
        <w:bCs/>
      </w:rPr>
      <w:tblPr/>
      <w:tcPr>
        <w:tcBorders>
          <w:top w:val="double" w:sz="4" w:space="0" w:color="B1B1B1" w:themeColor="accent2" w:themeTint="99"/>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GridTable6ColourfulAccent3">
    <w:name w:val="Grid Table 6 Colorful Accent 3"/>
    <w:basedOn w:val="TableNormal"/>
    <w:uiPriority w:val="51"/>
    <w:rsid w:val="009637A8"/>
    <w:pPr>
      <w:spacing w:after="0" w:line="240" w:lineRule="auto"/>
    </w:pPr>
    <w:rPr>
      <w:color w:val="959595" w:themeColor="accent3" w:themeShade="BF"/>
    </w:r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insideV w:val="single" w:sz="4" w:space="0" w:color="DEDEDE" w:themeColor="accent3" w:themeTint="99"/>
      </w:tblBorders>
    </w:tblPr>
    <w:tblStylePr w:type="firstRow">
      <w:rPr>
        <w:b/>
        <w:bCs/>
      </w:rPr>
      <w:tblPr/>
      <w:tcPr>
        <w:tcBorders>
          <w:bottom w:val="single" w:sz="12" w:space="0" w:color="DEDEDE" w:themeColor="accent3" w:themeTint="99"/>
        </w:tcBorders>
      </w:tcPr>
    </w:tblStylePr>
    <w:tblStylePr w:type="lastRow">
      <w:rPr>
        <w:b/>
        <w:bCs/>
      </w:rPr>
      <w:tblPr/>
      <w:tcPr>
        <w:tcBorders>
          <w:top w:val="double" w:sz="4" w:space="0" w:color="DEDEDE" w:themeColor="accent3" w:themeTint="99"/>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GridTable6ColourfulAccent4">
    <w:name w:val="Grid Table 6 Colorful Accent 4"/>
    <w:basedOn w:val="TableNormal"/>
    <w:uiPriority w:val="51"/>
    <w:rsid w:val="009637A8"/>
    <w:pPr>
      <w:spacing w:after="0" w:line="240" w:lineRule="auto"/>
    </w:pPr>
    <w:rPr>
      <w:color w:val="004F77" w:themeColor="accent4" w:themeShade="BF"/>
    </w:r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insideV w:val="single" w:sz="4" w:space="0" w:color="2CB8FF" w:themeColor="accent4" w:themeTint="99"/>
      </w:tblBorders>
    </w:tblPr>
    <w:tblStylePr w:type="firstRow">
      <w:rPr>
        <w:b/>
        <w:bCs/>
      </w:rPr>
      <w:tblPr/>
      <w:tcPr>
        <w:tcBorders>
          <w:bottom w:val="single" w:sz="12" w:space="0" w:color="2CB8FF" w:themeColor="accent4" w:themeTint="99"/>
        </w:tcBorders>
      </w:tcPr>
    </w:tblStylePr>
    <w:tblStylePr w:type="lastRow">
      <w:rPr>
        <w:b/>
        <w:bCs/>
      </w:rPr>
      <w:tblPr/>
      <w:tcPr>
        <w:tcBorders>
          <w:top w:val="double" w:sz="4" w:space="0" w:color="2CB8FF" w:themeColor="accent4" w:themeTint="99"/>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GridTable6ColourfulAccent5">
    <w:name w:val="Grid Table 6 Colorful Accent 5"/>
    <w:basedOn w:val="TableNormal"/>
    <w:uiPriority w:val="51"/>
    <w:rsid w:val="009637A8"/>
    <w:pPr>
      <w:spacing w:after="0" w:line="240" w:lineRule="auto"/>
    </w:pPr>
    <w:rPr>
      <w:color w:val="3C9BC0" w:themeColor="accent5" w:themeShade="BF"/>
    </w:r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insideV w:val="single" w:sz="4" w:space="0" w:color="AFD7E6" w:themeColor="accent5" w:themeTint="99"/>
      </w:tblBorders>
    </w:tblPr>
    <w:tblStylePr w:type="firstRow">
      <w:rPr>
        <w:b/>
        <w:bCs/>
      </w:rPr>
      <w:tblPr/>
      <w:tcPr>
        <w:tcBorders>
          <w:bottom w:val="single" w:sz="12" w:space="0" w:color="AFD7E6" w:themeColor="accent5" w:themeTint="99"/>
        </w:tcBorders>
      </w:tcPr>
    </w:tblStylePr>
    <w:tblStylePr w:type="lastRow">
      <w:rPr>
        <w:b/>
        <w:bCs/>
      </w:rPr>
      <w:tblPr/>
      <w:tcPr>
        <w:tcBorders>
          <w:top w:val="double" w:sz="4" w:space="0" w:color="AFD7E6" w:themeColor="accent5" w:themeTint="99"/>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GridTable6ColourfulAccent6">
    <w:name w:val="Grid Table 6 Colorful Accent 6"/>
    <w:basedOn w:val="TableNormal"/>
    <w:uiPriority w:val="51"/>
    <w:rsid w:val="009637A8"/>
    <w:pPr>
      <w:spacing w:after="0" w:line="240" w:lineRule="auto"/>
    </w:pPr>
    <w:rPr>
      <w:color w:val="31693D" w:themeColor="accent6" w:themeShade="BF"/>
    </w:r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insideV w:val="single" w:sz="4" w:space="0" w:color="83C590" w:themeColor="accent6" w:themeTint="99"/>
      </w:tblBorders>
    </w:tblPr>
    <w:tblStylePr w:type="firstRow">
      <w:rPr>
        <w:b/>
        <w:bCs/>
      </w:rPr>
      <w:tblPr/>
      <w:tcPr>
        <w:tcBorders>
          <w:bottom w:val="single" w:sz="12" w:space="0" w:color="83C590" w:themeColor="accent6" w:themeTint="99"/>
        </w:tcBorders>
      </w:tcPr>
    </w:tblStylePr>
    <w:tblStylePr w:type="lastRow">
      <w:rPr>
        <w:b/>
        <w:bCs/>
      </w:rPr>
      <w:tblPr/>
      <w:tcPr>
        <w:tcBorders>
          <w:top w:val="double" w:sz="4" w:space="0" w:color="83C590" w:themeColor="accent6" w:themeTint="99"/>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GridTable7Colourful">
    <w:name w:val="Grid Table 7 Colorful"/>
    <w:basedOn w:val="TableNormal"/>
    <w:uiPriority w:val="52"/>
    <w:rsid w:val="009637A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urfulAccent1">
    <w:name w:val="Grid Table 7 Colorful Accent 1"/>
    <w:basedOn w:val="TableNormal"/>
    <w:uiPriority w:val="52"/>
    <w:rsid w:val="009637A8"/>
    <w:pPr>
      <w:spacing w:after="0" w:line="240" w:lineRule="auto"/>
    </w:pPr>
    <w:rPr>
      <w:color w:val="72549D" w:themeColor="accent1" w:themeShade="BF"/>
    </w:r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insideV w:val="single" w:sz="4" w:space="0" w:color="C4B5D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1" w:themeFillTint="33"/>
      </w:tcPr>
    </w:tblStylePr>
    <w:tblStylePr w:type="band1Horz">
      <w:tblPr/>
      <w:tcPr>
        <w:shd w:val="clear" w:color="auto" w:fill="EBE6F2" w:themeFill="accent1" w:themeFillTint="33"/>
      </w:tcPr>
    </w:tblStylePr>
    <w:tblStylePr w:type="neCell">
      <w:tblPr/>
      <w:tcPr>
        <w:tcBorders>
          <w:bottom w:val="single" w:sz="4" w:space="0" w:color="C4B5D8" w:themeColor="accent1" w:themeTint="99"/>
        </w:tcBorders>
      </w:tcPr>
    </w:tblStylePr>
    <w:tblStylePr w:type="nwCell">
      <w:tblPr/>
      <w:tcPr>
        <w:tcBorders>
          <w:bottom w:val="single" w:sz="4" w:space="0" w:color="C4B5D8" w:themeColor="accent1" w:themeTint="99"/>
        </w:tcBorders>
      </w:tcPr>
    </w:tblStylePr>
    <w:tblStylePr w:type="seCell">
      <w:tblPr/>
      <w:tcPr>
        <w:tcBorders>
          <w:top w:val="single" w:sz="4" w:space="0" w:color="C4B5D8" w:themeColor="accent1" w:themeTint="99"/>
        </w:tcBorders>
      </w:tcPr>
    </w:tblStylePr>
    <w:tblStylePr w:type="swCell">
      <w:tblPr/>
      <w:tcPr>
        <w:tcBorders>
          <w:top w:val="single" w:sz="4" w:space="0" w:color="C4B5D8" w:themeColor="accent1" w:themeTint="99"/>
        </w:tcBorders>
      </w:tcPr>
    </w:tblStylePr>
  </w:style>
  <w:style w:type="table" w:styleId="GridTable7ColourfulAccent2">
    <w:name w:val="Grid Table 7 Colorful Accent 2"/>
    <w:basedOn w:val="TableNormal"/>
    <w:uiPriority w:val="52"/>
    <w:rsid w:val="009637A8"/>
    <w:pPr>
      <w:spacing w:after="0" w:line="240" w:lineRule="auto"/>
    </w:pPr>
    <w:rPr>
      <w:color w:val="5D5D5D" w:themeColor="accent2" w:themeShade="BF"/>
    </w:r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insideV w:val="single" w:sz="4" w:space="0" w:color="B1B1B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2" w:themeFillTint="33"/>
      </w:tcPr>
    </w:tblStylePr>
    <w:tblStylePr w:type="band1Horz">
      <w:tblPr/>
      <w:tcPr>
        <w:shd w:val="clear" w:color="auto" w:fill="E5E5E5" w:themeFill="accent2" w:themeFillTint="33"/>
      </w:tcPr>
    </w:tblStylePr>
    <w:tblStylePr w:type="neCell">
      <w:tblPr/>
      <w:tcPr>
        <w:tcBorders>
          <w:bottom w:val="single" w:sz="4" w:space="0" w:color="B1B1B1" w:themeColor="accent2" w:themeTint="99"/>
        </w:tcBorders>
      </w:tcPr>
    </w:tblStylePr>
    <w:tblStylePr w:type="nwCell">
      <w:tblPr/>
      <w:tcPr>
        <w:tcBorders>
          <w:bottom w:val="single" w:sz="4" w:space="0" w:color="B1B1B1" w:themeColor="accent2" w:themeTint="99"/>
        </w:tcBorders>
      </w:tcPr>
    </w:tblStylePr>
    <w:tblStylePr w:type="seCell">
      <w:tblPr/>
      <w:tcPr>
        <w:tcBorders>
          <w:top w:val="single" w:sz="4" w:space="0" w:color="B1B1B1" w:themeColor="accent2" w:themeTint="99"/>
        </w:tcBorders>
      </w:tcPr>
    </w:tblStylePr>
    <w:tblStylePr w:type="swCell">
      <w:tblPr/>
      <w:tcPr>
        <w:tcBorders>
          <w:top w:val="single" w:sz="4" w:space="0" w:color="B1B1B1" w:themeColor="accent2" w:themeTint="99"/>
        </w:tcBorders>
      </w:tcPr>
    </w:tblStylePr>
  </w:style>
  <w:style w:type="table" w:styleId="GridTable7ColourfulAccent3">
    <w:name w:val="Grid Table 7 Colorful Accent 3"/>
    <w:basedOn w:val="TableNormal"/>
    <w:uiPriority w:val="52"/>
    <w:rsid w:val="009637A8"/>
    <w:pPr>
      <w:spacing w:after="0" w:line="240" w:lineRule="auto"/>
    </w:pPr>
    <w:rPr>
      <w:color w:val="959595" w:themeColor="accent3" w:themeShade="BF"/>
    </w:r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insideV w:val="single" w:sz="4" w:space="0" w:color="DEDED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3" w:themeFillTint="33"/>
      </w:tcPr>
    </w:tblStylePr>
    <w:tblStylePr w:type="band1Horz">
      <w:tblPr/>
      <w:tcPr>
        <w:shd w:val="clear" w:color="auto" w:fill="F4F4F4" w:themeFill="accent3" w:themeFillTint="33"/>
      </w:tcPr>
    </w:tblStylePr>
    <w:tblStylePr w:type="neCell">
      <w:tblPr/>
      <w:tcPr>
        <w:tcBorders>
          <w:bottom w:val="single" w:sz="4" w:space="0" w:color="DEDEDE" w:themeColor="accent3" w:themeTint="99"/>
        </w:tcBorders>
      </w:tcPr>
    </w:tblStylePr>
    <w:tblStylePr w:type="nwCell">
      <w:tblPr/>
      <w:tcPr>
        <w:tcBorders>
          <w:bottom w:val="single" w:sz="4" w:space="0" w:color="DEDEDE" w:themeColor="accent3" w:themeTint="99"/>
        </w:tcBorders>
      </w:tcPr>
    </w:tblStylePr>
    <w:tblStylePr w:type="seCell">
      <w:tblPr/>
      <w:tcPr>
        <w:tcBorders>
          <w:top w:val="single" w:sz="4" w:space="0" w:color="DEDEDE" w:themeColor="accent3" w:themeTint="99"/>
        </w:tcBorders>
      </w:tcPr>
    </w:tblStylePr>
    <w:tblStylePr w:type="swCell">
      <w:tblPr/>
      <w:tcPr>
        <w:tcBorders>
          <w:top w:val="single" w:sz="4" w:space="0" w:color="DEDEDE" w:themeColor="accent3" w:themeTint="99"/>
        </w:tcBorders>
      </w:tcPr>
    </w:tblStylePr>
  </w:style>
  <w:style w:type="table" w:styleId="GridTable7ColourfulAccent4">
    <w:name w:val="Grid Table 7 Colorful Accent 4"/>
    <w:basedOn w:val="TableNormal"/>
    <w:uiPriority w:val="52"/>
    <w:rsid w:val="009637A8"/>
    <w:pPr>
      <w:spacing w:after="0" w:line="240" w:lineRule="auto"/>
    </w:pPr>
    <w:rPr>
      <w:color w:val="004F77" w:themeColor="accent4" w:themeShade="BF"/>
    </w:r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insideV w:val="single" w:sz="4" w:space="0" w:color="2CB8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7FF" w:themeFill="accent4" w:themeFillTint="33"/>
      </w:tcPr>
    </w:tblStylePr>
    <w:tblStylePr w:type="band1Horz">
      <w:tblPr/>
      <w:tcPr>
        <w:shd w:val="clear" w:color="auto" w:fill="B8E7FF" w:themeFill="accent4" w:themeFillTint="33"/>
      </w:tcPr>
    </w:tblStylePr>
    <w:tblStylePr w:type="neCell">
      <w:tblPr/>
      <w:tcPr>
        <w:tcBorders>
          <w:bottom w:val="single" w:sz="4" w:space="0" w:color="2CB8FF" w:themeColor="accent4" w:themeTint="99"/>
        </w:tcBorders>
      </w:tcPr>
    </w:tblStylePr>
    <w:tblStylePr w:type="nwCell">
      <w:tblPr/>
      <w:tcPr>
        <w:tcBorders>
          <w:bottom w:val="single" w:sz="4" w:space="0" w:color="2CB8FF" w:themeColor="accent4" w:themeTint="99"/>
        </w:tcBorders>
      </w:tcPr>
    </w:tblStylePr>
    <w:tblStylePr w:type="seCell">
      <w:tblPr/>
      <w:tcPr>
        <w:tcBorders>
          <w:top w:val="single" w:sz="4" w:space="0" w:color="2CB8FF" w:themeColor="accent4" w:themeTint="99"/>
        </w:tcBorders>
      </w:tcPr>
    </w:tblStylePr>
    <w:tblStylePr w:type="swCell">
      <w:tblPr/>
      <w:tcPr>
        <w:tcBorders>
          <w:top w:val="single" w:sz="4" w:space="0" w:color="2CB8FF" w:themeColor="accent4" w:themeTint="99"/>
        </w:tcBorders>
      </w:tcPr>
    </w:tblStylePr>
  </w:style>
  <w:style w:type="table" w:styleId="GridTable7ColourfulAccent5">
    <w:name w:val="Grid Table 7 Colorful Accent 5"/>
    <w:basedOn w:val="TableNormal"/>
    <w:uiPriority w:val="52"/>
    <w:rsid w:val="009637A8"/>
    <w:pPr>
      <w:spacing w:after="0" w:line="240" w:lineRule="auto"/>
    </w:pPr>
    <w:rPr>
      <w:color w:val="3C9BC0" w:themeColor="accent5" w:themeShade="BF"/>
    </w:r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insideV w:val="single" w:sz="4" w:space="0" w:color="AFD7E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1F6" w:themeFill="accent5" w:themeFillTint="33"/>
      </w:tcPr>
    </w:tblStylePr>
    <w:tblStylePr w:type="band1Horz">
      <w:tblPr/>
      <w:tcPr>
        <w:shd w:val="clear" w:color="auto" w:fill="E4F1F6" w:themeFill="accent5" w:themeFillTint="33"/>
      </w:tcPr>
    </w:tblStylePr>
    <w:tblStylePr w:type="neCell">
      <w:tblPr/>
      <w:tcPr>
        <w:tcBorders>
          <w:bottom w:val="single" w:sz="4" w:space="0" w:color="AFD7E6" w:themeColor="accent5" w:themeTint="99"/>
        </w:tcBorders>
      </w:tcPr>
    </w:tblStylePr>
    <w:tblStylePr w:type="nwCell">
      <w:tblPr/>
      <w:tcPr>
        <w:tcBorders>
          <w:bottom w:val="single" w:sz="4" w:space="0" w:color="AFD7E6" w:themeColor="accent5" w:themeTint="99"/>
        </w:tcBorders>
      </w:tcPr>
    </w:tblStylePr>
    <w:tblStylePr w:type="seCell">
      <w:tblPr/>
      <w:tcPr>
        <w:tcBorders>
          <w:top w:val="single" w:sz="4" w:space="0" w:color="AFD7E6" w:themeColor="accent5" w:themeTint="99"/>
        </w:tcBorders>
      </w:tcPr>
    </w:tblStylePr>
    <w:tblStylePr w:type="swCell">
      <w:tblPr/>
      <w:tcPr>
        <w:tcBorders>
          <w:top w:val="single" w:sz="4" w:space="0" w:color="AFD7E6" w:themeColor="accent5" w:themeTint="99"/>
        </w:tcBorders>
      </w:tcPr>
    </w:tblStylePr>
  </w:style>
  <w:style w:type="table" w:styleId="GridTable7ColourfulAccent6">
    <w:name w:val="Grid Table 7 Colorful Accent 6"/>
    <w:basedOn w:val="TableNormal"/>
    <w:uiPriority w:val="52"/>
    <w:rsid w:val="009637A8"/>
    <w:pPr>
      <w:spacing w:after="0" w:line="240" w:lineRule="auto"/>
    </w:pPr>
    <w:rPr>
      <w:color w:val="31693D" w:themeColor="accent6" w:themeShade="BF"/>
    </w:r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insideV w:val="single" w:sz="4" w:space="0" w:color="83C5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BDA" w:themeFill="accent6" w:themeFillTint="33"/>
      </w:tcPr>
    </w:tblStylePr>
    <w:tblStylePr w:type="band1Horz">
      <w:tblPr/>
      <w:tcPr>
        <w:shd w:val="clear" w:color="auto" w:fill="D5EBDA" w:themeFill="accent6" w:themeFillTint="33"/>
      </w:tcPr>
    </w:tblStylePr>
    <w:tblStylePr w:type="neCell">
      <w:tblPr/>
      <w:tcPr>
        <w:tcBorders>
          <w:bottom w:val="single" w:sz="4" w:space="0" w:color="83C590" w:themeColor="accent6" w:themeTint="99"/>
        </w:tcBorders>
      </w:tcPr>
    </w:tblStylePr>
    <w:tblStylePr w:type="nwCell">
      <w:tblPr/>
      <w:tcPr>
        <w:tcBorders>
          <w:bottom w:val="single" w:sz="4" w:space="0" w:color="83C590" w:themeColor="accent6" w:themeTint="99"/>
        </w:tcBorders>
      </w:tcPr>
    </w:tblStylePr>
    <w:tblStylePr w:type="seCell">
      <w:tblPr/>
      <w:tcPr>
        <w:tcBorders>
          <w:top w:val="single" w:sz="4" w:space="0" w:color="83C590" w:themeColor="accent6" w:themeTint="99"/>
        </w:tcBorders>
      </w:tcPr>
    </w:tblStylePr>
    <w:tblStylePr w:type="swCell">
      <w:tblPr/>
      <w:tcPr>
        <w:tcBorders>
          <w:top w:val="single" w:sz="4" w:space="0" w:color="83C590" w:themeColor="accent6" w:themeTint="99"/>
        </w:tcBorders>
      </w:tcPr>
    </w:tblStylePr>
  </w:style>
  <w:style w:type="character" w:styleId="Hashtag">
    <w:name w:val="Hashtag"/>
    <w:basedOn w:val="DefaultParagraphFont"/>
    <w:uiPriority w:val="99"/>
    <w:semiHidden/>
    <w:unhideWhenUsed/>
    <w:rsid w:val="009637A8"/>
    <w:rPr>
      <w:color w:val="2B579A"/>
      <w:shd w:val="clear" w:color="auto" w:fill="E1DFDD"/>
    </w:rPr>
  </w:style>
  <w:style w:type="paragraph" w:styleId="Header">
    <w:name w:val="header"/>
    <w:basedOn w:val="Normal-nospace"/>
    <w:link w:val="HeaderChar"/>
    <w:uiPriority w:val="99"/>
    <w:unhideWhenUsed/>
    <w:rsid w:val="00B649EB"/>
    <w:pPr>
      <w:tabs>
        <w:tab w:val="center" w:pos="4513"/>
        <w:tab w:val="right" w:pos="9026"/>
      </w:tabs>
      <w:spacing w:before="90" w:line="240" w:lineRule="auto"/>
    </w:pPr>
    <w:rPr>
      <w:sz w:val="16"/>
    </w:rPr>
  </w:style>
  <w:style w:type="character" w:customStyle="1" w:styleId="HeaderChar">
    <w:name w:val="Header Char"/>
    <w:basedOn w:val="DefaultParagraphFont"/>
    <w:link w:val="Header"/>
    <w:uiPriority w:val="99"/>
    <w:rsid w:val="00B649EB"/>
    <w:rPr>
      <w:rFonts w:ascii="Arial Narrow" w:hAnsi="Arial Narrow" w:cs="Arial"/>
      <w:sz w:val="16"/>
    </w:rPr>
  </w:style>
  <w:style w:type="character" w:styleId="HTMLAcronym">
    <w:name w:val="HTML Acronym"/>
    <w:basedOn w:val="DefaultParagraphFont"/>
    <w:uiPriority w:val="99"/>
    <w:semiHidden/>
    <w:unhideWhenUsed/>
    <w:rsid w:val="009637A8"/>
  </w:style>
  <w:style w:type="paragraph" w:styleId="HTMLAddress">
    <w:name w:val="HTML Address"/>
    <w:basedOn w:val="Normal"/>
    <w:link w:val="HTMLAddressChar"/>
    <w:uiPriority w:val="99"/>
    <w:semiHidden/>
    <w:unhideWhenUsed/>
    <w:rsid w:val="009637A8"/>
    <w:pPr>
      <w:spacing w:after="0"/>
    </w:pPr>
    <w:rPr>
      <w:i/>
      <w:iCs/>
    </w:rPr>
  </w:style>
  <w:style w:type="character" w:customStyle="1" w:styleId="HTMLAddressChar">
    <w:name w:val="HTML Address Char"/>
    <w:basedOn w:val="DefaultParagraphFont"/>
    <w:link w:val="HTMLAddress"/>
    <w:uiPriority w:val="99"/>
    <w:semiHidden/>
    <w:rsid w:val="009637A8"/>
    <w:rPr>
      <w:rFonts w:ascii="Arial" w:hAnsi="Arial" w:cs="Arial"/>
      <w:i/>
      <w:iCs/>
    </w:rPr>
  </w:style>
  <w:style w:type="character" w:styleId="HTMLCite">
    <w:name w:val="HTML Cite"/>
    <w:basedOn w:val="DefaultParagraphFont"/>
    <w:uiPriority w:val="99"/>
    <w:semiHidden/>
    <w:unhideWhenUsed/>
    <w:rsid w:val="009637A8"/>
    <w:rPr>
      <w:i/>
      <w:iCs/>
    </w:rPr>
  </w:style>
  <w:style w:type="character" w:styleId="HTMLCode">
    <w:name w:val="HTML Code"/>
    <w:basedOn w:val="DefaultParagraphFont"/>
    <w:uiPriority w:val="99"/>
    <w:semiHidden/>
    <w:unhideWhenUsed/>
    <w:rsid w:val="009637A8"/>
    <w:rPr>
      <w:rFonts w:ascii="Arial Narrow" w:hAnsi="Arial Narrow" w:cs="Arial"/>
      <w:sz w:val="20"/>
      <w:szCs w:val="20"/>
    </w:rPr>
  </w:style>
  <w:style w:type="character" w:styleId="HTMLDefinition">
    <w:name w:val="HTML Definition"/>
    <w:basedOn w:val="DefaultParagraphFont"/>
    <w:uiPriority w:val="99"/>
    <w:semiHidden/>
    <w:unhideWhenUsed/>
    <w:rsid w:val="009637A8"/>
    <w:rPr>
      <w:i/>
      <w:iCs/>
    </w:rPr>
  </w:style>
  <w:style w:type="character" w:styleId="HTMLKeyboard">
    <w:name w:val="HTML Keyboard"/>
    <w:basedOn w:val="DefaultParagraphFont"/>
    <w:uiPriority w:val="99"/>
    <w:semiHidden/>
    <w:unhideWhenUsed/>
    <w:rsid w:val="009637A8"/>
    <w:rPr>
      <w:rFonts w:ascii="Arial Narrow" w:hAnsi="Arial Narrow" w:cs="Arial"/>
      <w:sz w:val="20"/>
      <w:szCs w:val="20"/>
    </w:rPr>
  </w:style>
  <w:style w:type="paragraph" w:styleId="HTMLPreformatted">
    <w:name w:val="HTML Preformatted"/>
    <w:basedOn w:val="Normal"/>
    <w:link w:val="HTMLPreformattedChar"/>
    <w:uiPriority w:val="99"/>
    <w:semiHidden/>
    <w:unhideWhenUsed/>
    <w:rsid w:val="009637A8"/>
    <w:pPr>
      <w:spacing w:after="0"/>
    </w:pPr>
    <w:rPr>
      <w:sz w:val="20"/>
      <w:szCs w:val="20"/>
    </w:rPr>
  </w:style>
  <w:style w:type="character" w:customStyle="1" w:styleId="HTMLPreformattedChar">
    <w:name w:val="HTML Preformatted Char"/>
    <w:basedOn w:val="DefaultParagraphFont"/>
    <w:link w:val="HTMLPreformatted"/>
    <w:uiPriority w:val="99"/>
    <w:semiHidden/>
    <w:rsid w:val="009637A8"/>
    <w:rPr>
      <w:rFonts w:ascii="Arial" w:hAnsi="Arial" w:cs="Arial"/>
      <w:sz w:val="20"/>
      <w:szCs w:val="20"/>
    </w:rPr>
  </w:style>
  <w:style w:type="character" w:styleId="HTMLSample">
    <w:name w:val="HTML Sample"/>
    <w:basedOn w:val="DefaultParagraphFont"/>
    <w:uiPriority w:val="99"/>
    <w:semiHidden/>
    <w:unhideWhenUsed/>
    <w:rsid w:val="009637A8"/>
    <w:rPr>
      <w:rFonts w:ascii="Arial Narrow" w:hAnsi="Arial Narrow" w:cs="Arial"/>
      <w:sz w:val="24"/>
      <w:szCs w:val="24"/>
    </w:rPr>
  </w:style>
  <w:style w:type="character" w:styleId="HTMLTypewriter">
    <w:name w:val="HTML Typewriter"/>
    <w:basedOn w:val="DefaultParagraphFont"/>
    <w:uiPriority w:val="99"/>
    <w:semiHidden/>
    <w:unhideWhenUsed/>
    <w:rsid w:val="009637A8"/>
    <w:rPr>
      <w:rFonts w:ascii="Arial Narrow" w:hAnsi="Arial Narrow" w:cs="Arial"/>
      <w:sz w:val="20"/>
      <w:szCs w:val="20"/>
    </w:rPr>
  </w:style>
  <w:style w:type="character" w:styleId="HTMLVariable">
    <w:name w:val="HTML Variable"/>
    <w:basedOn w:val="DefaultParagraphFont"/>
    <w:uiPriority w:val="99"/>
    <w:semiHidden/>
    <w:unhideWhenUsed/>
    <w:rsid w:val="009637A8"/>
    <w:rPr>
      <w:i/>
      <w:iCs/>
    </w:rPr>
  </w:style>
  <w:style w:type="character" w:styleId="Hyperlink">
    <w:name w:val="Hyperlink"/>
    <w:basedOn w:val="DefaultParagraphFont"/>
    <w:uiPriority w:val="99"/>
    <w:unhideWhenUsed/>
    <w:rsid w:val="009637A8"/>
    <w:rPr>
      <w:color w:val="7BBDD6" w:themeColor="hyperlink"/>
      <w:u w:val="single"/>
    </w:rPr>
  </w:style>
  <w:style w:type="paragraph" w:styleId="Index1">
    <w:name w:val="index 1"/>
    <w:basedOn w:val="Normal"/>
    <w:next w:val="Normal"/>
    <w:autoRedefine/>
    <w:uiPriority w:val="99"/>
    <w:semiHidden/>
    <w:unhideWhenUsed/>
    <w:rsid w:val="009637A8"/>
    <w:pPr>
      <w:spacing w:after="0"/>
      <w:ind w:left="220" w:hanging="220"/>
    </w:pPr>
  </w:style>
  <w:style w:type="paragraph" w:styleId="Index2">
    <w:name w:val="index 2"/>
    <w:basedOn w:val="Normal"/>
    <w:next w:val="Normal"/>
    <w:autoRedefine/>
    <w:uiPriority w:val="99"/>
    <w:semiHidden/>
    <w:unhideWhenUsed/>
    <w:rsid w:val="009637A8"/>
    <w:pPr>
      <w:spacing w:after="0"/>
      <w:ind w:left="440" w:hanging="220"/>
    </w:pPr>
  </w:style>
  <w:style w:type="paragraph" w:styleId="Index3">
    <w:name w:val="index 3"/>
    <w:basedOn w:val="Normal"/>
    <w:next w:val="Normal"/>
    <w:autoRedefine/>
    <w:uiPriority w:val="99"/>
    <w:semiHidden/>
    <w:unhideWhenUsed/>
    <w:rsid w:val="009637A8"/>
    <w:pPr>
      <w:spacing w:after="0"/>
      <w:ind w:left="660" w:hanging="220"/>
    </w:pPr>
  </w:style>
  <w:style w:type="paragraph" w:styleId="Index4">
    <w:name w:val="index 4"/>
    <w:basedOn w:val="Normal"/>
    <w:next w:val="Normal"/>
    <w:autoRedefine/>
    <w:uiPriority w:val="99"/>
    <w:semiHidden/>
    <w:unhideWhenUsed/>
    <w:rsid w:val="009637A8"/>
    <w:pPr>
      <w:spacing w:after="0"/>
      <w:ind w:left="880" w:hanging="220"/>
    </w:pPr>
  </w:style>
  <w:style w:type="paragraph" w:styleId="Index5">
    <w:name w:val="index 5"/>
    <w:basedOn w:val="Normal"/>
    <w:next w:val="Normal"/>
    <w:autoRedefine/>
    <w:uiPriority w:val="99"/>
    <w:semiHidden/>
    <w:unhideWhenUsed/>
    <w:rsid w:val="009637A8"/>
    <w:pPr>
      <w:spacing w:after="0"/>
      <w:ind w:left="1100" w:hanging="220"/>
    </w:pPr>
  </w:style>
  <w:style w:type="paragraph" w:styleId="Index6">
    <w:name w:val="index 6"/>
    <w:basedOn w:val="Normal"/>
    <w:next w:val="Normal"/>
    <w:autoRedefine/>
    <w:uiPriority w:val="99"/>
    <w:semiHidden/>
    <w:unhideWhenUsed/>
    <w:rsid w:val="009637A8"/>
    <w:pPr>
      <w:spacing w:after="0"/>
      <w:ind w:left="1320" w:hanging="220"/>
    </w:pPr>
  </w:style>
  <w:style w:type="paragraph" w:styleId="Index7">
    <w:name w:val="index 7"/>
    <w:basedOn w:val="Normal"/>
    <w:next w:val="Normal"/>
    <w:autoRedefine/>
    <w:uiPriority w:val="99"/>
    <w:semiHidden/>
    <w:unhideWhenUsed/>
    <w:rsid w:val="009637A8"/>
    <w:pPr>
      <w:spacing w:after="0"/>
      <w:ind w:left="1540" w:hanging="220"/>
    </w:pPr>
  </w:style>
  <w:style w:type="paragraph" w:styleId="Index8">
    <w:name w:val="index 8"/>
    <w:basedOn w:val="Normal"/>
    <w:next w:val="Normal"/>
    <w:autoRedefine/>
    <w:uiPriority w:val="99"/>
    <w:semiHidden/>
    <w:unhideWhenUsed/>
    <w:rsid w:val="009637A8"/>
    <w:pPr>
      <w:spacing w:after="0"/>
      <w:ind w:left="1760" w:hanging="220"/>
    </w:pPr>
  </w:style>
  <w:style w:type="paragraph" w:styleId="Index9">
    <w:name w:val="index 9"/>
    <w:basedOn w:val="Normal"/>
    <w:next w:val="Normal"/>
    <w:autoRedefine/>
    <w:uiPriority w:val="99"/>
    <w:semiHidden/>
    <w:unhideWhenUsed/>
    <w:rsid w:val="009637A8"/>
    <w:pPr>
      <w:spacing w:after="0"/>
      <w:ind w:left="1980" w:hanging="220"/>
    </w:pPr>
  </w:style>
  <w:style w:type="paragraph" w:styleId="IndexHeading">
    <w:name w:val="index heading"/>
    <w:basedOn w:val="Normal"/>
    <w:next w:val="Index1"/>
    <w:uiPriority w:val="99"/>
    <w:semiHidden/>
    <w:unhideWhenUsed/>
    <w:rsid w:val="009637A8"/>
    <w:pPr>
      <w:spacing w:after="160" w:line="259" w:lineRule="auto"/>
    </w:pPr>
    <w:rPr>
      <w:rFonts w:eastAsiaTheme="majorEastAsia"/>
      <w:b/>
      <w:bCs/>
    </w:rPr>
  </w:style>
  <w:style w:type="character" w:styleId="IntenseEmphasis">
    <w:name w:val="Intense Emphasis"/>
    <w:basedOn w:val="DefaultParagraphFont"/>
    <w:uiPriority w:val="21"/>
    <w:qFormat/>
    <w:rsid w:val="009637A8"/>
    <w:rPr>
      <w:i/>
      <w:iCs/>
      <w:color w:val="9D85BE" w:themeColor="accent1"/>
    </w:rPr>
  </w:style>
  <w:style w:type="paragraph" w:styleId="IntenseQuote">
    <w:name w:val="Intense Quote"/>
    <w:basedOn w:val="Normal"/>
    <w:next w:val="Normal"/>
    <w:link w:val="IntenseQuoteChar"/>
    <w:uiPriority w:val="30"/>
    <w:qFormat/>
    <w:rsid w:val="009637A8"/>
    <w:pPr>
      <w:pBdr>
        <w:top w:val="single" w:sz="4" w:space="10" w:color="9D85BE" w:themeColor="accent1"/>
        <w:bottom w:val="single" w:sz="4" w:space="10" w:color="9D85BE" w:themeColor="accent1"/>
      </w:pBdr>
      <w:spacing w:before="360" w:after="360" w:line="259" w:lineRule="auto"/>
      <w:ind w:left="864" w:right="864"/>
      <w:jc w:val="center"/>
    </w:pPr>
    <w:rPr>
      <w:i/>
      <w:iCs/>
      <w:color w:val="9D85BE" w:themeColor="accent1"/>
    </w:rPr>
  </w:style>
  <w:style w:type="character" w:customStyle="1" w:styleId="IntenseQuoteChar">
    <w:name w:val="Intense Quote Char"/>
    <w:basedOn w:val="DefaultParagraphFont"/>
    <w:link w:val="IntenseQuote"/>
    <w:uiPriority w:val="30"/>
    <w:rsid w:val="009637A8"/>
    <w:rPr>
      <w:rFonts w:ascii="Arial" w:hAnsi="Arial" w:cs="Arial"/>
      <w:i/>
      <w:iCs/>
      <w:color w:val="9D85BE" w:themeColor="accent1"/>
    </w:rPr>
  </w:style>
  <w:style w:type="character" w:styleId="IntenseReference">
    <w:name w:val="Intense Reference"/>
    <w:basedOn w:val="DefaultParagraphFont"/>
    <w:uiPriority w:val="32"/>
    <w:qFormat/>
    <w:rsid w:val="009637A8"/>
    <w:rPr>
      <w:b/>
      <w:bCs/>
      <w:smallCaps/>
      <w:color w:val="9D85BE" w:themeColor="accent1"/>
      <w:spacing w:val="5"/>
    </w:rPr>
  </w:style>
  <w:style w:type="table" w:styleId="LightGrid">
    <w:name w:val="Light Grid"/>
    <w:basedOn w:val="TableNormal"/>
    <w:uiPriority w:val="62"/>
    <w:semiHidden/>
    <w:unhideWhenUsed/>
    <w:rsid w:val="009637A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637A8"/>
    <w:pPr>
      <w:spacing w:after="0" w:line="240" w:lineRule="auto"/>
    </w:pPr>
    <w:tblPr>
      <w:tblStyleRowBandSize w:val="1"/>
      <w:tblStyleColBandSize w:val="1"/>
      <w:tblBorders>
        <w:top w:val="single" w:sz="8" w:space="0" w:color="9D85BE" w:themeColor="accent1"/>
        <w:left w:val="single" w:sz="8" w:space="0" w:color="9D85BE" w:themeColor="accent1"/>
        <w:bottom w:val="single" w:sz="8" w:space="0" w:color="9D85BE" w:themeColor="accent1"/>
        <w:right w:val="single" w:sz="8" w:space="0" w:color="9D85BE" w:themeColor="accent1"/>
        <w:insideH w:val="single" w:sz="8" w:space="0" w:color="9D85BE" w:themeColor="accent1"/>
        <w:insideV w:val="single" w:sz="8" w:space="0" w:color="9D85B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85BE" w:themeColor="accent1"/>
          <w:left w:val="single" w:sz="8" w:space="0" w:color="9D85BE" w:themeColor="accent1"/>
          <w:bottom w:val="single" w:sz="18" w:space="0" w:color="9D85BE" w:themeColor="accent1"/>
          <w:right w:val="single" w:sz="8" w:space="0" w:color="9D85BE" w:themeColor="accent1"/>
          <w:insideH w:val="nil"/>
          <w:insideV w:val="single" w:sz="8" w:space="0" w:color="9D85B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85BE" w:themeColor="accent1"/>
          <w:left w:val="single" w:sz="8" w:space="0" w:color="9D85BE" w:themeColor="accent1"/>
          <w:bottom w:val="single" w:sz="8" w:space="0" w:color="9D85BE" w:themeColor="accent1"/>
          <w:right w:val="single" w:sz="8" w:space="0" w:color="9D85BE" w:themeColor="accent1"/>
          <w:insideH w:val="nil"/>
          <w:insideV w:val="single" w:sz="8" w:space="0" w:color="9D85B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85BE" w:themeColor="accent1"/>
          <w:left w:val="single" w:sz="8" w:space="0" w:color="9D85BE" w:themeColor="accent1"/>
          <w:bottom w:val="single" w:sz="8" w:space="0" w:color="9D85BE" w:themeColor="accent1"/>
          <w:right w:val="single" w:sz="8" w:space="0" w:color="9D85BE" w:themeColor="accent1"/>
        </w:tcBorders>
      </w:tcPr>
    </w:tblStylePr>
    <w:tblStylePr w:type="band1Vert">
      <w:tblPr/>
      <w:tcPr>
        <w:tcBorders>
          <w:top w:val="single" w:sz="8" w:space="0" w:color="9D85BE" w:themeColor="accent1"/>
          <w:left w:val="single" w:sz="8" w:space="0" w:color="9D85BE" w:themeColor="accent1"/>
          <w:bottom w:val="single" w:sz="8" w:space="0" w:color="9D85BE" w:themeColor="accent1"/>
          <w:right w:val="single" w:sz="8" w:space="0" w:color="9D85BE" w:themeColor="accent1"/>
        </w:tcBorders>
        <w:shd w:val="clear" w:color="auto" w:fill="E6E0EF" w:themeFill="accent1" w:themeFillTint="3F"/>
      </w:tcPr>
    </w:tblStylePr>
    <w:tblStylePr w:type="band1Horz">
      <w:tblPr/>
      <w:tcPr>
        <w:tcBorders>
          <w:top w:val="single" w:sz="8" w:space="0" w:color="9D85BE" w:themeColor="accent1"/>
          <w:left w:val="single" w:sz="8" w:space="0" w:color="9D85BE" w:themeColor="accent1"/>
          <w:bottom w:val="single" w:sz="8" w:space="0" w:color="9D85BE" w:themeColor="accent1"/>
          <w:right w:val="single" w:sz="8" w:space="0" w:color="9D85BE" w:themeColor="accent1"/>
          <w:insideV w:val="single" w:sz="8" w:space="0" w:color="9D85BE" w:themeColor="accent1"/>
        </w:tcBorders>
        <w:shd w:val="clear" w:color="auto" w:fill="E6E0EF" w:themeFill="accent1" w:themeFillTint="3F"/>
      </w:tcPr>
    </w:tblStylePr>
    <w:tblStylePr w:type="band2Horz">
      <w:tblPr/>
      <w:tcPr>
        <w:tcBorders>
          <w:top w:val="single" w:sz="8" w:space="0" w:color="9D85BE" w:themeColor="accent1"/>
          <w:left w:val="single" w:sz="8" w:space="0" w:color="9D85BE" w:themeColor="accent1"/>
          <w:bottom w:val="single" w:sz="8" w:space="0" w:color="9D85BE" w:themeColor="accent1"/>
          <w:right w:val="single" w:sz="8" w:space="0" w:color="9D85BE" w:themeColor="accent1"/>
          <w:insideV w:val="single" w:sz="8" w:space="0" w:color="9D85BE" w:themeColor="accent1"/>
        </w:tcBorders>
      </w:tcPr>
    </w:tblStylePr>
  </w:style>
  <w:style w:type="table" w:styleId="LightGrid-Accent2">
    <w:name w:val="Light Grid Accent 2"/>
    <w:basedOn w:val="TableNormal"/>
    <w:uiPriority w:val="62"/>
    <w:semiHidden/>
    <w:unhideWhenUsed/>
    <w:rsid w:val="009637A8"/>
    <w:pPr>
      <w:spacing w:after="0" w:line="240" w:lineRule="auto"/>
    </w:pPr>
    <w:tblPr>
      <w:tblStyleRowBandSize w:val="1"/>
      <w:tblStyleColBandSize w:val="1"/>
      <w:tblBorders>
        <w:top w:val="single" w:sz="8" w:space="0" w:color="7D7D7D" w:themeColor="accent2"/>
        <w:left w:val="single" w:sz="8" w:space="0" w:color="7D7D7D" w:themeColor="accent2"/>
        <w:bottom w:val="single" w:sz="8" w:space="0" w:color="7D7D7D" w:themeColor="accent2"/>
        <w:right w:val="single" w:sz="8" w:space="0" w:color="7D7D7D" w:themeColor="accent2"/>
        <w:insideH w:val="single" w:sz="8" w:space="0" w:color="7D7D7D" w:themeColor="accent2"/>
        <w:insideV w:val="single" w:sz="8" w:space="0" w:color="7D7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D7D7D" w:themeColor="accent2"/>
          <w:left w:val="single" w:sz="8" w:space="0" w:color="7D7D7D" w:themeColor="accent2"/>
          <w:bottom w:val="single" w:sz="18" w:space="0" w:color="7D7D7D" w:themeColor="accent2"/>
          <w:right w:val="single" w:sz="8" w:space="0" w:color="7D7D7D" w:themeColor="accent2"/>
          <w:insideH w:val="nil"/>
          <w:insideV w:val="single" w:sz="8" w:space="0" w:color="7D7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D7D7D" w:themeColor="accent2"/>
          <w:left w:val="single" w:sz="8" w:space="0" w:color="7D7D7D" w:themeColor="accent2"/>
          <w:bottom w:val="single" w:sz="8" w:space="0" w:color="7D7D7D" w:themeColor="accent2"/>
          <w:right w:val="single" w:sz="8" w:space="0" w:color="7D7D7D" w:themeColor="accent2"/>
          <w:insideH w:val="nil"/>
          <w:insideV w:val="single" w:sz="8" w:space="0" w:color="7D7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D7D7D" w:themeColor="accent2"/>
          <w:left w:val="single" w:sz="8" w:space="0" w:color="7D7D7D" w:themeColor="accent2"/>
          <w:bottom w:val="single" w:sz="8" w:space="0" w:color="7D7D7D" w:themeColor="accent2"/>
          <w:right w:val="single" w:sz="8" w:space="0" w:color="7D7D7D" w:themeColor="accent2"/>
        </w:tcBorders>
      </w:tcPr>
    </w:tblStylePr>
    <w:tblStylePr w:type="band1Vert">
      <w:tblPr/>
      <w:tcPr>
        <w:tcBorders>
          <w:top w:val="single" w:sz="8" w:space="0" w:color="7D7D7D" w:themeColor="accent2"/>
          <w:left w:val="single" w:sz="8" w:space="0" w:color="7D7D7D" w:themeColor="accent2"/>
          <w:bottom w:val="single" w:sz="8" w:space="0" w:color="7D7D7D" w:themeColor="accent2"/>
          <w:right w:val="single" w:sz="8" w:space="0" w:color="7D7D7D" w:themeColor="accent2"/>
        </w:tcBorders>
        <w:shd w:val="clear" w:color="auto" w:fill="DEDEDE" w:themeFill="accent2" w:themeFillTint="3F"/>
      </w:tcPr>
    </w:tblStylePr>
    <w:tblStylePr w:type="band1Horz">
      <w:tblPr/>
      <w:tcPr>
        <w:tcBorders>
          <w:top w:val="single" w:sz="8" w:space="0" w:color="7D7D7D" w:themeColor="accent2"/>
          <w:left w:val="single" w:sz="8" w:space="0" w:color="7D7D7D" w:themeColor="accent2"/>
          <w:bottom w:val="single" w:sz="8" w:space="0" w:color="7D7D7D" w:themeColor="accent2"/>
          <w:right w:val="single" w:sz="8" w:space="0" w:color="7D7D7D" w:themeColor="accent2"/>
          <w:insideV w:val="single" w:sz="8" w:space="0" w:color="7D7D7D" w:themeColor="accent2"/>
        </w:tcBorders>
        <w:shd w:val="clear" w:color="auto" w:fill="DEDEDE" w:themeFill="accent2" w:themeFillTint="3F"/>
      </w:tcPr>
    </w:tblStylePr>
    <w:tblStylePr w:type="band2Horz">
      <w:tblPr/>
      <w:tcPr>
        <w:tcBorders>
          <w:top w:val="single" w:sz="8" w:space="0" w:color="7D7D7D" w:themeColor="accent2"/>
          <w:left w:val="single" w:sz="8" w:space="0" w:color="7D7D7D" w:themeColor="accent2"/>
          <w:bottom w:val="single" w:sz="8" w:space="0" w:color="7D7D7D" w:themeColor="accent2"/>
          <w:right w:val="single" w:sz="8" w:space="0" w:color="7D7D7D" w:themeColor="accent2"/>
          <w:insideV w:val="single" w:sz="8" w:space="0" w:color="7D7D7D" w:themeColor="accent2"/>
        </w:tcBorders>
      </w:tcPr>
    </w:tblStylePr>
  </w:style>
  <w:style w:type="table" w:styleId="LightGrid-Accent3">
    <w:name w:val="Light Grid Accent 3"/>
    <w:basedOn w:val="TableNormal"/>
    <w:uiPriority w:val="62"/>
    <w:semiHidden/>
    <w:unhideWhenUsed/>
    <w:rsid w:val="009637A8"/>
    <w:pPr>
      <w:spacing w:after="0" w:line="240" w:lineRule="auto"/>
    </w:pPr>
    <w:tblPr>
      <w:tblStyleRowBandSize w:val="1"/>
      <w:tblStyleColBandSize w:val="1"/>
      <w:tblBorders>
        <w:top w:val="single" w:sz="8" w:space="0" w:color="C8C8C8" w:themeColor="accent3"/>
        <w:left w:val="single" w:sz="8" w:space="0" w:color="C8C8C8" w:themeColor="accent3"/>
        <w:bottom w:val="single" w:sz="8" w:space="0" w:color="C8C8C8" w:themeColor="accent3"/>
        <w:right w:val="single" w:sz="8" w:space="0" w:color="C8C8C8" w:themeColor="accent3"/>
        <w:insideH w:val="single" w:sz="8" w:space="0" w:color="C8C8C8" w:themeColor="accent3"/>
        <w:insideV w:val="single" w:sz="8" w:space="0" w:color="C8C8C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C8C8" w:themeColor="accent3"/>
          <w:left w:val="single" w:sz="8" w:space="0" w:color="C8C8C8" w:themeColor="accent3"/>
          <w:bottom w:val="single" w:sz="18" w:space="0" w:color="C8C8C8" w:themeColor="accent3"/>
          <w:right w:val="single" w:sz="8" w:space="0" w:color="C8C8C8" w:themeColor="accent3"/>
          <w:insideH w:val="nil"/>
          <w:insideV w:val="single" w:sz="8" w:space="0" w:color="C8C8C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C8C8" w:themeColor="accent3"/>
          <w:left w:val="single" w:sz="8" w:space="0" w:color="C8C8C8" w:themeColor="accent3"/>
          <w:bottom w:val="single" w:sz="8" w:space="0" w:color="C8C8C8" w:themeColor="accent3"/>
          <w:right w:val="single" w:sz="8" w:space="0" w:color="C8C8C8" w:themeColor="accent3"/>
          <w:insideH w:val="nil"/>
          <w:insideV w:val="single" w:sz="8" w:space="0" w:color="C8C8C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C8C8" w:themeColor="accent3"/>
          <w:left w:val="single" w:sz="8" w:space="0" w:color="C8C8C8" w:themeColor="accent3"/>
          <w:bottom w:val="single" w:sz="8" w:space="0" w:color="C8C8C8" w:themeColor="accent3"/>
          <w:right w:val="single" w:sz="8" w:space="0" w:color="C8C8C8" w:themeColor="accent3"/>
        </w:tcBorders>
      </w:tcPr>
    </w:tblStylePr>
    <w:tblStylePr w:type="band1Vert">
      <w:tblPr/>
      <w:tcPr>
        <w:tcBorders>
          <w:top w:val="single" w:sz="8" w:space="0" w:color="C8C8C8" w:themeColor="accent3"/>
          <w:left w:val="single" w:sz="8" w:space="0" w:color="C8C8C8" w:themeColor="accent3"/>
          <w:bottom w:val="single" w:sz="8" w:space="0" w:color="C8C8C8" w:themeColor="accent3"/>
          <w:right w:val="single" w:sz="8" w:space="0" w:color="C8C8C8" w:themeColor="accent3"/>
        </w:tcBorders>
        <w:shd w:val="clear" w:color="auto" w:fill="F1F1F1" w:themeFill="accent3" w:themeFillTint="3F"/>
      </w:tcPr>
    </w:tblStylePr>
    <w:tblStylePr w:type="band1Horz">
      <w:tblPr/>
      <w:tcPr>
        <w:tcBorders>
          <w:top w:val="single" w:sz="8" w:space="0" w:color="C8C8C8" w:themeColor="accent3"/>
          <w:left w:val="single" w:sz="8" w:space="0" w:color="C8C8C8" w:themeColor="accent3"/>
          <w:bottom w:val="single" w:sz="8" w:space="0" w:color="C8C8C8" w:themeColor="accent3"/>
          <w:right w:val="single" w:sz="8" w:space="0" w:color="C8C8C8" w:themeColor="accent3"/>
          <w:insideV w:val="single" w:sz="8" w:space="0" w:color="C8C8C8" w:themeColor="accent3"/>
        </w:tcBorders>
        <w:shd w:val="clear" w:color="auto" w:fill="F1F1F1" w:themeFill="accent3" w:themeFillTint="3F"/>
      </w:tcPr>
    </w:tblStylePr>
    <w:tblStylePr w:type="band2Horz">
      <w:tblPr/>
      <w:tcPr>
        <w:tcBorders>
          <w:top w:val="single" w:sz="8" w:space="0" w:color="C8C8C8" w:themeColor="accent3"/>
          <w:left w:val="single" w:sz="8" w:space="0" w:color="C8C8C8" w:themeColor="accent3"/>
          <w:bottom w:val="single" w:sz="8" w:space="0" w:color="C8C8C8" w:themeColor="accent3"/>
          <w:right w:val="single" w:sz="8" w:space="0" w:color="C8C8C8" w:themeColor="accent3"/>
          <w:insideV w:val="single" w:sz="8" w:space="0" w:color="C8C8C8" w:themeColor="accent3"/>
        </w:tcBorders>
      </w:tcPr>
    </w:tblStylePr>
  </w:style>
  <w:style w:type="table" w:styleId="LightGrid-Accent4">
    <w:name w:val="Light Grid Accent 4"/>
    <w:basedOn w:val="TableNormal"/>
    <w:uiPriority w:val="62"/>
    <w:semiHidden/>
    <w:unhideWhenUsed/>
    <w:rsid w:val="009637A8"/>
    <w:pPr>
      <w:spacing w:after="0" w:line="240" w:lineRule="auto"/>
    </w:pPr>
    <w:tblPr>
      <w:tblStyleRowBandSize w:val="1"/>
      <w:tblStyleColBandSize w:val="1"/>
      <w:tblBorders>
        <w:top w:val="single" w:sz="8" w:space="0" w:color="006A9F" w:themeColor="accent4"/>
        <w:left w:val="single" w:sz="8" w:space="0" w:color="006A9F" w:themeColor="accent4"/>
        <w:bottom w:val="single" w:sz="8" w:space="0" w:color="006A9F" w:themeColor="accent4"/>
        <w:right w:val="single" w:sz="8" w:space="0" w:color="006A9F" w:themeColor="accent4"/>
        <w:insideH w:val="single" w:sz="8" w:space="0" w:color="006A9F" w:themeColor="accent4"/>
        <w:insideV w:val="single" w:sz="8" w:space="0" w:color="006A9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A9F" w:themeColor="accent4"/>
          <w:left w:val="single" w:sz="8" w:space="0" w:color="006A9F" w:themeColor="accent4"/>
          <w:bottom w:val="single" w:sz="18" w:space="0" w:color="006A9F" w:themeColor="accent4"/>
          <w:right w:val="single" w:sz="8" w:space="0" w:color="006A9F" w:themeColor="accent4"/>
          <w:insideH w:val="nil"/>
          <w:insideV w:val="single" w:sz="8" w:space="0" w:color="006A9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A9F" w:themeColor="accent4"/>
          <w:left w:val="single" w:sz="8" w:space="0" w:color="006A9F" w:themeColor="accent4"/>
          <w:bottom w:val="single" w:sz="8" w:space="0" w:color="006A9F" w:themeColor="accent4"/>
          <w:right w:val="single" w:sz="8" w:space="0" w:color="006A9F" w:themeColor="accent4"/>
          <w:insideH w:val="nil"/>
          <w:insideV w:val="single" w:sz="8" w:space="0" w:color="006A9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A9F" w:themeColor="accent4"/>
          <w:left w:val="single" w:sz="8" w:space="0" w:color="006A9F" w:themeColor="accent4"/>
          <w:bottom w:val="single" w:sz="8" w:space="0" w:color="006A9F" w:themeColor="accent4"/>
          <w:right w:val="single" w:sz="8" w:space="0" w:color="006A9F" w:themeColor="accent4"/>
        </w:tcBorders>
      </w:tcPr>
    </w:tblStylePr>
    <w:tblStylePr w:type="band1Vert">
      <w:tblPr/>
      <w:tcPr>
        <w:tcBorders>
          <w:top w:val="single" w:sz="8" w:space="0" w:color="006A9F" w:themeColor="accent4"/>
          <w:left w:val="single" w:sz="8" w:space="0" w:color="006A9F" w:themeColor="accent4"/>
          <w:bottom w:val="single" w:sz="8" w:space="0" w:color="006A9F" w:themeColor="accent4"/>
          <w:right w:val="single" w:sz="8" w:space="0" w:color="006A9F" w:themeColor="accent4"/>
        </w:tcBorders>
        <w:shd w:val="clear" w:color="auto" w:fill="A8E2FF" w:themeFill="accent4" w:themeFillTint="3F"/>
      </w:tcPr>
    </w:tblStylePr>
    <w:tblStylePr w:type="band1Horz">
      <w:tblPr/>
      <w:tcPr>
        <w:tcBorders>
          <w:top w:val="single" w:sz="8" w:space="0" w:color="006A9F" w:themeColor="accent4"/>
          <w:left w:val="single" w:sz="8" w:space="0" w:color="006A9F" w:themeColor="accent4"/>
          <w:bottom w:val="single" w:sz="8" w:space="0" w:color="006A9F" w:themeColor="accent4"/>
          <w:right w:val="single" w:sz="8" w:space="0" w:color="006A9F" w:themeColor="accent4"/>
          <w:insideV w:val="single" w:sz="8" w:space="0" w:color="006A9F" w:themeColor="accent4"/>
        </w:tcBorders>
        <w:shd w:val="clear" w:color="auto" w:fill="A8E2FF" w:themeFill="accent4" w:themeFillTint="3F"/>
      </w:tcPr>
    </w:tblStylePr>
    <w:tblStylePr w:type="band2Horz">
      <w:tblPr/>
      <w:tcPr>
        <w:tcBorders>
          <w:top w:val="single" w:sz="8" w:space="0" w:color="006A9F" w:themeColor="accent4"/>
          <w:left w:val="single" w:sz="8" w:space="0" w:color="006A9F" w:themeColor="accent4"/>
          <w:bottom w:val="single" w:sz="8" w:space="0" w:color="006A9F" w:themeColor="accent4"/>
          <w:right w:val="single" w:sz="8" w:space="0" w:color="006A9F" w:themeColor="accent4"/>
          <w:insideV w:val="single" w:sz="8" w:space="0" w:color="006A9F" w:themeColor="accent4"/>
        </w:tcBorders>
      </w:tcPr>
    </w:tblStylePr>
  </w:style>
  <w:style w:type="table" w:styleId="LightGrid-Accent5">
    <w:name w:val="Light Grid Accent 5"/>
    <w:basedOn w:val="TableNormal"/>
    <w:uiPriority w:val="62"/>
    <w:semiHidden/>
    <w:unhideWhenUsed/>
    <w:rsid w:val="009637A8"/>
    <w:pPr>
      <w:spacing w:after="0" w:line="240" w:lineRule="auto"/>
    </w:pPr>
    <w:tblPr>
      <w:tblStyleRowBandSize w:val="1"/>
      <w:tblStyleColBandSize w:val="1"/>
      <w:tblBorders>
        <w:top w:val="single" w:sz="8" w:space="0" w:color="7BBDD6" w:themeColor="accent5"/>
        <w:left w:val="single" w:sz="8" w:space="0" w:color="7BBDD6" w:themeColor="accent5"/>
        <w:bottom w:val="single" w:sz="8" w:space="0" w:color="7BBDD6" w:themeColor="accent5"/>
        <w:right w:val="single" w:sz="8" w:space="0" w:color="7BBDD6" w:themeColor="accent5"/>
        <w:insideH w:val="single" w:sz="8" w:space="0" w:color="7BBDD6" w:themeColor="accent5"/>
        <w:insideV w:val="single" w:sz="8" w:space="0" w:color="7BBDD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BBDD6" w:themeColor="accent5"/>
          <w:left w:val="single" w:sz="8" w:space="0" w:color="7BBDD6" w:themeColor="accent5"/>
          <w:bottom w:val="single" w:sz="18" w:space="0" w:color="7BBDD6" w:themeColor="accent5"/>
          <w:right w:val="single" w:sz="8" w:space="0" w:color="7BBDD6" w:themeColor="accent5"/>
          <w:insideH w:val="nil"/>
          <w:insideV w:val="single" w:sz="8" w:space="0" w:color="7BBDD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BBDD6" w:themeColor="accent5"/>
          <w:left w:val="single" w:sz="8" w:space="0" w:color="7BBDD6" w:themeColor="accent5"/>
          <w:bottom w:val="single" w:sz="8" w:space="0" w:color="7BBDD6" w:themeColor="accent5"/>
          <w:right w:val="single" w:sz="8" w:space="0" w:color="7BBDD6" w:themeColor="accent5"/>
          <w:insideH w:val="nil"/>
          <w:insideV w:val="single" w:sz="8" w:space="0" w:color="7BBDD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BBDD6" w:themeColor="accent5"/>
          <w:left w:val="single" w:sz="8" w:space="0" w:color="7BBDD6" w:themeColor="accent5"/>
          <w:bottom w:val="single" w:sz="8" w:space="0" w:color="7BBDD6" w:themeColor="accent5"/>
          <w:right w:val="single" w:sz="8" w:space="0" w:color="7BBDD6" w:themeColor="accent5"/>
        </w:tcBorders>
      </w:tcPr>
    </w:tblStylePr>
    <w:tblStylePr w:type="band1Vert">
      <w:tblPr/>
      <w:tcPr>
        <w:tcBorders>
          <w:top w:val="single" w:sz="8" w:space="0" w:color="7BBDD6" w:themeColor="accent5"/>
          <w:left w:val="single" w:sz="8" w:space="0" w:color="7BBDD6" w:themeColor="accent5"/>
          <w:bottom w:val="single" w:sz="8" w:space="0" w:color="7BBDD6" w:themeColor="accent5"/>
          <w:right w:val="single" w:sz="8" w:space="0" w:color="7BBDD6" w:themeColor="accent5"/>
        </w:tcBorders>
        <w:shd w:val="clear" w:color="auto" w:fill="DEEEF4" w:themeFill="accent5" w:themeFillTint="3F"/>
      </w:tcPr>
    </w:tblStylePr>
    <w:tblStylePr w:type="band1Horz">
      <w:tblPr/>
      <w:tcPr>
        <w:tcBorders>
          <w:top w:val="single" w:sz="8" w:space="0" w:color="7BBDD6" w:themeColor="accent5"/>
          <w:left w:val="single" w:sz="8" w:space="0" w:color="7BBDD6" w:themeColor="accent5"/>
          <w:bottom w:val="single" w:sz="8" w:space="0" w:color="7BBDD6" w:themeColor="accent5"/>
          <w:right w:val="single" w:sz="8" w:space="0" w:color="7BBDD6" w:themeColor="accent5"/>
          <w:insideV w:val="single" w:sz="8" w:space="0" w:color="7BBDD6" w:themeColor="accent5"/>
        </w:tcBorders>
        <w:shd w:val="clear" w:color="auto" w:fill="DEEEF4" w:themeFill="accent5" w:themeFillTint="3F"/>
      </w:tcPr>
    </w:tblStylePr>
    <w:tblStylePr w:type="band2Horz">
      <w:tblPr/>
      <w:tcPr>
        <w:tcBorders>
          <w:top w:val="single" w:sz="8" w:space="0" w:color="7BBDD6" w:themeColor="accent5"/>
          <w:left w:val="single" w:sz="8" w:space="0" w:color="7BBDD6" w:themeColor="accent5"/>
          <w:bottom w:val="single" w:sz="8" w:space="0" w:color="7BBDD6" w:themeColor="accent5"/>
          <w:right w:val="single" w:sz="8" w:space="0" w:color="7BBDD6" w:themeColor="accent5"/>
          <w:insideV w:val="single" w:sz="8" w:space="0" w:color="7BBDD6" w:themeColor="accent5"/>
        </w:tcBorders>
      </w:tcPr>
    </w:tblStylePr>
  </w:style>
  <w:style w:type="table" w:styleId="LightGrid-Accent6">
    <w:name w:val="Light Grid Accent 6"/>
    <w:basedOn w:val="TableNormal"/>
    <w:uiPriority w:val="62"/>
    <w:semiHidden/>
    <w:unhideWhenUsed/>
    <w:rsid w:val="009637A8"/>
    <w:pPr>
      <w:spacing w:after="0" w:line="240" w:lineRule="auto"/>
    </w:pPr>
    <w:tblPr>
      <w:tblStyleRowBandSize w:val="1"/>
      <w:tblStyleColBandSize w:val="1"/>
      <w:tblBorders>
        <w:top w:val="single" w:sz="8" w:space="0" w:color="428D52" w:themeColor="accent6"/>
        <w:left w:val="single" w:sz="8" w:space="0" w:color="428D52" w:themeColor="accent6"/>
        <w:bottom w:val="single" w:sz="8" w:space="0" w:color="428D52" w:themeColor="accent6"/>
        <w:right w:val="single" w:sz="8" w:space="0" w:color="428D52" w:themeColor="accent6"/>
        <w:insideH w:val="single" w:sz="8" w:space="0" w:color="428D52" w:themeColor="accent6"/>
        <w:insideV w:val="single" w:sz="8" w:space="0" w:color="428D5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28D52" w:themeColor="accent6"/>
          <w:left w:val="single" w:sz="8" w:space="0" w:color="428D52" w:themeColor="accent6"/>
          <w:bottom w:val="single" w:sz="18" w:space="0" w:color="428D52" w:themeColor="accent6"/>
          <w:right w:val="single" w:sz="8" w:space="0" w:color="428D52" w:themeColor="accent6"/>
          <w:insideH w:val="nil"/>
          <w:insideV w:val="single" w:sz="8" w:space="0" w:color="428D5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28D52" w:themeColor="accent6"/>
          <w:left w:val="single" w:sz="8" w:space="0" w:color="428D52" w:themeColor="accent6"/>
          <w:bottom w:val="single" w:sz="8" w:space="0" w:color="428D52" w:themeColor="accent6"/>
          <w:right w:val="single" w:sz="8" w:space="0" w:color="428D52" w:themeColor="accent6"/>
          <w:insideH w:val="nil"/>
          <w:insideV w:val="single" w:sz="8" w:space="0" w:color="428D5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28D52" w:themeColor="accent6"/>
          <w:left w:val="single" w:sz="8" w:space="0" w:color="428D52" w:themeColor="accent6"/>
          <w:bottom w:val="single" w:sz="8" w:space="0" w:color="428D52" w:themeColor="accent6"/>
          <w:right w:val="single" w:sz="8" w:space="0" w:color="428D52" w:themeColor="accent6"/>
        </w:tcBorders>
      </w:tcPr>
    </w:tblStylePr>
    <w:tblStylePr w:type="band1Vert">
      <w:tblPr/>
      <w:tcPr>
        <w:tcBorders>
          <w:top w:val="single" w:sz="8" w:space="0" w:color="428D52" w:themeColor="accent6"/>
          <w:left w:val="single" w:sz="8" w:space="0" w:color="428D52" w:themeColor="accent6"/>
          <w:bottom w:val="single" w:sz="8" w:space="0" w:color="428D52" w:themeColor="accent6"/>
          <w:right w:val="single" w:sz="8" w:space="0" w:color="428D52" w:themeColor="accent6"/>
        </w:tcBorders>
        <w:shd w:val="clear" w:color="auto" w:fill="CBE7D1" w:themeFill="accent6" w:themeFillTint="3F"/>
      </w:tcPr>
    </w:tblStylePr>
    <w:tblStylePr w:type="band1Horz">
      <w:tblPr/>
      <w:tcPr>
        <w:tcBorders>
          <w:top w:val="single" w:sz="8" w:space="0" w:color="428D52" w:themeColor="accent6"/>
          <w:left w:val="single" w:sz="8" w:space="0" w:color="428D52" w:themeColor="accent6"/>
          <w:bottom w:val="single" w:sz="8" w:space="0" w:color="428D52" w:themeColor="accent6"/>
          <w:right w:val="single" w:sz="8" w:space="0" w:color="428D52" w:themeColor="accent6"/>
          <w:insideV w:val="single" w:sz="8" w:space="0" w:color="428D52" w:themeColor="accent6"/>
        </w:tcBorders>
        <w:shd w:val="clear" w:color="auto" w:fill="CBE7D1" w:themeFill="accent6" w:themeFillTint="3F"/>
      </w:tcPr>
    </w:tblStylePr>
    <w:tblStylePr w:type="band2Horz">
      <w:tblPr/>
      <w:tcPr>
        <w:tcBorders>
          <w:top w:val="single" w:sz="8" w:space="0" w:color="428D52" w:themeColor="accent6"/>
          <w:left w:val="single" w:sz="8" w:space="0" w:color="428D52" w:themeColor="accent6"/>
          <w:bottom w:val="single" w:sz="8" w:space="0" w:color="428D52" w:themeColor="accent6"/>
          <w:right w:val="single" w:sz="8" w:space="0" w:color="428D52" w:themeColor="accent6"/>
          <w:insideV w:val="single" w:sz="8" w:space="0" w:color="428D52" w:themeColor="accent6"/>
        </w:tcBorders>
      </w:tcPr>
    </w:tblStylePr>
  </w:style>
  <w:style w:type="table" w:styleId="LightList">
    <w:name w:val="Light List"/>
    <w:basedOn w:val="TableNormal"/>
    <w:uiPriority w:val="61"/>
    <w:semiHidden/>
    <w:unhideWhenUsed/>
    <w:rsid w:val="009637A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637A8"/>
    <w:pPr>
      <w:spacing w:after="0" w:line="240" w:lineRule="auto"/>
    </w:pPr>
    <w:tblPr>
      <w:tblStyleRowBandSize w:val="1"/>
      <w:tblStyleColBandSize w:val="1"/>
      <w:tblBorders>
        <w:top w:val="single" w:sz="8" w:space="0" w:color="9D85BE" w:themeColor="accent1"/>
        <w:left w:val="single" w:sz="8" w:space="0" w:color="9D85BE" w:themeColor="accent1"/>
        <w:bottom w:val="single" w:sz="8" w:space="0" w:color="9D85BE" w:themeColor="accent1"/>
        <w:right w:val="single" w:sz="8" w:space="0" w:color="9D85BE" w:themeColor="accent1"/>
      </w:tblBorders>
    </w:tblPr>
    <w:tblStylePr w:type="firstRow">
      <w:pPr>
        <w:spacing w:before="0" w:after="0" w:line="240" w:lineRule="auto"/>
      </w:pPr>
      <w:rPr>
        <w:b/>
        <w:bCs/>
        <w:color w:val="FFFFFF" w:themeColor="background1"/>
      </w:rPr>
      <w:tblPr/>
      <w:tcPr>
        <w:shd w:val="clear" w:color="auto" w:fill="9D85BE" w:themeFill="accent1"/>
      </w:tcPr>
    </w:tblStylePr>
    <w:tblStylePr w:type="lastRow">
      <w:pPr>
        <w:spacing w:before="0" w:after="0" w:line="240" w:lineRule="auto"/>
      </w:pPr>
      <w:rPr>
        <w:b/>
        <w:bCs/>
      </w:rPr>
      <w:tblPr/>
      <w:tcPr>
        <w:tcBorders>
          <w:top w:val="double" w:sz="6" w:space="0" w:color="9D85BE" w:themeColor="accent1"/>
          <w:left w:val="single" w:sz="8" w:space="0" w:color="9D85BE" w:themeColor="accent1"/>
          <w:bottom w:val="single" w:sz="8" w:space="0" w:color="9D85BE" w:themeColor="accent1"/>
          <w:right w:val="single" w:sz="8" w:space="0" w:color="9D85BE" w:themeColor="accent1"/>
        </w:tcBorders>
      </w:tcPr>
    </w:tblStylePr>
    <w:tblStylePr w:type="firstCol">
      <w:rPr>
        <w:b/>
        <w:bCs/>
      </w:rPr>
    </w:tblStylePr>
    <w:tblStylePr w:type="lastCol">
      <w:rPr>
        <w:b/>
        <w:bCs/>
      </w:rPr>
    </w:tblStylePr>
    <w:tblStylePr w:type="band1Vert">
      <w:tblPr/>
      <w:tcPr>
        <w:tcBorders>
          <w:top w:val="single" w:sz="8" w:space="0" w:color="9D85BE" w:themeColor="accent1"/>
          <w:left w:val="single" w:sz="8" w:space="0" w:color="9D85BE" w:themeColor="accent1"/>
          <w:bottom w:val="single" w:sz="8" w:space="0" w:color="9D85BE" w:themeColor="accent1"/>
          <w:right w:val="single" w:sz="8" w:space="0" w:color="9D85BE" w:themeColor="accent1"/>
        </w:tcBorders>
      </w:tcPr>
    </w:tblStylePr>
    <w:tblStylePr w:type="band1Horz">
      <w:tblPr/>
      <w:tcPr>
        <w:tcBorders>
          <w:top w:val="single" w:sz="8" w:space="0" w:color="9D85BE" w:themeColor="accent1"/>
          <w:left w:val="single" w:sz="8" w:space="0" w:color="9D85BE" w:themeColor="accent1"/>
          <w:bottom w:val="single" w:sz="8" w:space="0" w:color="9D85BE" w:themeColor="accent1"/>
          <w:right w:val="single" w:sz="8" w:space="0" w:color="9D85BE" w:themeColor="accent1"/>
        </w:tcBorders>
      </w:tcPr>
    </w:tblStylePr>
  </w:style>
  <w:style w:type="table" w:styleId="LightList-Accent2">
    <w:name w:val="Light List Accent 2"/>
    <w:basedOn w:val="TableNormal"/>
    <w:uiPriority w:val="61"/>
    <w:semiHidden/>
    <w:unhideWhenUsed/>
    <w:rsid w:val="009637A8"/>
    <w:pPr>
      <w:spacing w:after="0" w:line="240" w:lineRule="auto"/>
    </w:pPr>
    <w:tblPr>
      <w:tblStyleRowBandSize w:val="1"/>
      <w:tblStyleColBandSize w:val="1"/>
      <w:tblBorders>
        <w:top w:val="single" w:sz="8" w:space="0" w:color="7D7D7D" w:themeColor="accent2"/>
        <w:left w:val="single" w:sz="8" w:space="0" w:color="7D7D7D" w:themeColor="accent2"/>
        <w:bottom w:val="single" w:sz="8" w:space="0" w:color="7D7D7D" w:themeColor="accent2"/>
        <w:right w:val="single" w:sz="8" w:space="0" w:color="7D7D7D" w:themeColor="accent2"/>
      </w:tblBorders>
    </w:tblPr>
    <w:tblStylePr w:type="firstRow">
      <w:pPr>
        <w:spacing w:before="0" w:after="0" w:line="240" w:lineRule="auto"/>
      </w:pPr>
      <w:rPr>
        <w:b/>
        <w:bCs/>
        <w:color w:val="FFFFFF" w:themeColor="background1"/>
      </w:rPr>
      <w:tblPr/>
      <w:tcPr>
        <w:shd w:val="clear" w:color="auto" w:fill="7D7D7D" w:themeFill="accent2"/>
      </w:tcPr>
    </w:tblStylePr>
    <w:tblStylePr w:type="lastRow">
      <w:pPr>
        <w:spacing w:before="0" w:after="0" w:line="240" w:lineRule="auto"/>
      </w:pPr>
      <w:rPr>
        <w:b/>
        <w:bCs/>
      </w:rPr>
      <w:tblPr/>
      <w:tcPr>
        <w:tcBorders>
          <w:top w:val="double" w:sz="6" w:space="0" w:color="7D7D7D" w:themeColor="accent2"/>
          <w:left w:val="single" w:sz="8" w:space="0" w:color="7D7D7D" w:themeColor="accent2"/>
          <w:bottom w:val="single" w:sz="8" w:space="0" w:color="7D7D7D" w:themeColor="accent2"/>
          <w:right w:val="single" w:sz="8" w:space="0" w:color="7D7D7D" w:themeColor="accent2"/>
        </w:tcBorders>
      </w:tcPr>
    </w:tblStylePr>
    <w:tblStylePr w:type="firstCol">
      <w:rPr>
        <w:b/>
        <w:bCs/>
      </w:rPr>
    </w:tblStylePr>
    <w:tblStylePr w:type="lastCol">
      <w:rPr>
        <w:b/>
        <w:bCs/>
      </w:rPr>
    </w:tblStylePr>
    <w:tblStylePr w:type="band1Vert">
      <w:tblPr/>
      <w:tcPr>
        <w:tcBorders>
          <w:top w:val="single" w:sz="8" w:space="0" w:color="7D7D7D" w:themeColor="accent2"/>
          <w:left w:val="single" w:sz="8" w:space="0" w:color="7D7D7D" w:themeColor="accent2"/>
          <w:bottom w:val="single" w:sz="8" w:space="0" w:color="7D7D7D" w:themeColor="accent2"/>
          <w:right w:val="single" w:sz="8" w:space="0" w:color="7D7D7D" w:themeColor="accent2"/>
        </w:tcBorders>
      </w:tcPr>
    </w:tblStylePr>
    <w:tblStylePr w:type="band1Horz">
      <w:tblPr/>
      <w:tcPr>
        <w:tcBorders>
          <w:top w:val="single" w:sz="8" w:space="0" w:color="7D7D7D" w:themeColor="accent2"/>
          <w:left w:val="single" w:sz="8" w:space="0" w:color="7D7D7D" w:themeColor="accent2"/>
          <w:bottom w:val="single" w:sz="8" w:space="0" w:color="7D7D7D" w:themeColor="accent2"/>
          <w:right w:val="single" w:sz="8" w:space="0" w:color="7D7D7D" w:themeColor="accent2"/>
        </w:tcBorders>
      </w:tcPr>
    </w:tblStylePr>
  </w:style>
  <w:style w:type="table" w:styleId="LightList-Accent3">
    <w:name w:val="Light List Accent 3"/>
    <w:basedOn w:val="TableNormal"/>
    <w:uiPriority w:val="61"/>
    <w:semiHidden/>
    <w:unhideWhenUsed/>
    <w:rsid w:val="009637A8"/>
    <w:pPr>
      <w:spacing w:after="0" w:line="240" w:lineRule="auto"/>
    </w:pPr>
    <w:tblPr>
      <w:tblStyleRowBandSize w:val="1"/>
      <w:tblStyleColBandSize w:val="1"/>
      <w:tblBorders>
        <w:top w:val="single" w:sz="8" w:space="0" w:color="C8C8C8" w:themeColor="accent3"/>
        <w:left w:val="single" w:sz="8" w:space="0" w:color="C8C8C8" w:themeColor="accent3"/>
        <w:bottom w:val="single" w:sz="8" w:space="0" w:color="C8C8C8" w:themeColor="accent3"/>
        <w:right w:val="single" w:sz="8" w:space="0" w:color="C8C8C8" w:themeColor="accent3"/>
      </w:tblBorders>
    </w:tblPr>
    <w:tblStylePr w:type="firstRow">
      <w:pPr>
        <w:spacing w:before="0" w:after="0" w:line="240" w:lineRule="auto"/>
      </w:pPr>
      <w:rPr>
        <w:b/>
        <w:bCs/>
        <w:color w:val="FFFFFF" w:themeColor="background1"/>
      </w:rPr>
      <w:tblPr/>
      <w:tcPr>
        <w:shd w:val="clear" w:color="auto" w:fill="C8C8C8" w:themeFill="accent3"/>
      </w:tcPr>
    </w:tblStylePr>
    <w:tblStylePr w:type="lastRow">
      <w:pPr>
        <w:spacing w:before="0" w:after="0" w:line="240" w:lineRule="auto"/>
      </w:pPr>
      <w:rPr>
        <w:b/>
        <w:bCs/>
      </w:rPr>
      <w:tblPr/>
      <w:tcPr>
        <w:tcBorders>
          <w:top w:val="double" w:sz="6" w:space="0" w:color="C8C8C8" w:themeColor="accent3"/>
          <w:left w:val="single" w:sz="8" w:space="0" w:color="C8C8C8" w:themeColor="accent3"/>
          <w:bottom w:val="single" w:sz="8" w:space="0" w:color="C8C8C8" w:themeColor="accent3"/>
          <w:right w:val="single" w:sz="8" w:space="0" w:color="C8C8C8" w:themeColor="accent3"/>
        </w:tcBorders>
      </w:tcPr>
    </w:tblStylePr>
    <w:tblStylePr w:type="firstCol">
      <w:rPr>
        <w:b/>
        <w:bCs/>
      </w:rPr>
    </w:tblStylePr>
    <w:tblStylePr w:type="lastCol">
      <w:rPr>
        <w:b/>
        <w:bCs/>
      </w:rPr>
    </w:tblStylePr>
    <w:tblStylePr w:type="band1Vert">
      <w:tblPr/>
      <w:tcPr>
        <w:tcBorders>
          <w:top w:val="single" w:sz="8" w:space="0" w:color="C8C8C8" w:themeColor="accent3"/>
          <w:left w:val="single" w:sz="8" w:space="0" w:color="C8C8C8" w:themeColor="accent3"/>
          <w:bottom w:val="single" w:sz="8" w:space="0" w:color="C8C8C8" w:themeColor="accent3"/>
          <w:right w:val="single" w:sz="8" w:space="0" w:color="C8C8C8" w:themeColor="accent3"/>
        </w:tcBorders>
      </w:tcPr>
    </w:tblStylePr>
    <w:tblStylePr w:type="band1Horz">
      <w:tblPr/>
      <w:tcPr>
        <w:tcBorders>
          <w:top w:val="single" w:sz="8" w:space="0" w:color="C8C8C8" w:themeColor="accent3"/>
          <w:left w:val="single" w:sz="8" w:space="0" w:color="C8C8C8" w:themeColor="accent3"/>
          <w:bottom w:val="single" w:sz="8" w:space="0" w:color="C8C8C8" w:themeColor="accent3"/>
          <w:right w:val="single" w:sz="8" w:space="0" w:color="C8C8C8" w:themeColor="accent3"/>
        </w:tcBorders>
      </w:tcPr>
    </w:tblStylePr>
  </w:style>
  <w:style w:type="table" w:styleId="LightList-Accent4">
    <w:name w:val="Light List Accent 4"/>
    <w:basedOn w:val="TableNormal"/>
    <w:uiPriority w:val="61"/>
    <w:semiHidden/>
    <w:unhideWhenUsed/>
    <w:rsid w:val="009637A8"/>
    <w:pPr>
      <w:spacing w:after="0" w:line="240" w:lineRule="auto"/>
    </w:pPr>
    <w:tblPr>
      <w:tblStyleRowBandSize w:val="1"/>
      <w:tblStyleColBandSize w:val="1"/>
      <w:tblBorders>
        <w:top w:val="single" w:sz="8" w:space="0" w:color="006A9F" w:themeColor="accent4"/>
        <w:left w:val="single" w:sz="8" w:space="0" w:color="006A9F" w:themeColor="accent4"/>
        <w:bottom w:val="single" w:sz="8" w:space="0" w:color="006A9F" w:themeColor="accent4"/>
        <w:right w:val="single" w:sz="8" w:space="0" w:color="006A9F" w:themeColor="accent4"/>
      </w:tblBorders>
    </w:tblPr>
    <w:tblStylePr w:type="firstRow">
      <w:pPr>
        <w:spacing w:before="0" w:after="0" w:line="240" w:lineRule="auto"/>
      </w:pPr>
      <w:rPr>
        <w:b/>
        <w:bCs/>
        <w:color w:val="FFFFFF" w:themeColor="background1"/>
      </w:rPr>
      <w:tblPr/>
      <w:tcPr>
        <w:shd w:val="clear" w:color="auto" w:fill="006A9F" w:themeFill="accent4"/>
      </w:tcPr>
    </w:tblStylePr>
    <w:tblStylePr w:type="lastRow">
      <w:pPr>
        <w:spacing w:before="0" w:after="0" w:line="240" w:lineRule="auto"/>
      </w:pPr>
      <w:rPr>
        <w:b/>
        <w:bCs/>
      </w:rPr>
      <w:tblPr/>
      <w:tcPr>
        <w:tcBorders>
          <w:top w:val="double" w:sz="6" w:space="0" w:color="006A9F" w:themeColor="accent4"/>
          <w:left w:val="single" w:sz="8" w:space="0" w:color="006A9F" w:themeColor="accent4"/>
          <w:bottom w:val="single" w:sz="8" w:space="0" w:color="006A9F" w:themeColor="accent4"/>
          <w:right w:val="single" w:sz="8" w:space="0" w:color="006A9F" w:themeColor="accent4"/>
        </w:tcBorders>
      </w:tcPr>
    </w:tblStylePr>
    <w:tblStylePr w:type="firstCol">
      <w:rPr>
        <w:b/>
        <w:bCs/>
      </w:rPr>
    </w:tblStylePr>
    <w:tblStylePr w:type="lastCol">
      <w:rPr>
        <w:b/>
        <w:bCs/>
      </w:rPr>
    </w:tblStylePr>
    <w:tblStylePr w:type="band1Vert">
      <w:tblPr/>
      <w:tcPr>
        <w:tcBorders>
          <w:top w:val="single" w:sz="8" w:space="0" w:color="006A9F" w:themeColor="accent4"/>
          <w:left w:val="single" w:sz="8" w:space="0" w:color="006A9F" w:themeColor="accent4"/>
          <w:bottom w:val="single" w:sz="8" w:space="0" w:color="006A9F" w:themeColor="accent4"/>
          <w:right w:val="single" w:sz="8" w:space="0" w:color="006A9F" w:themeColor="accent4"/>
        </w:tcBorders>
      </w:tcPr>
    </w:tblStylePr>
    <w:tblStylePr w:type="band1Horz">
      <w:tblPr/>
      <w:tcPr>
        <w:tcBorders>
          <w:top w:val="single" w:sz="8" w:space="0" w:color="006A9F" w:themeColor="accent4"/>
          <w:left w:val="single" w:sz="8" w:space="0" w:color="006A9F" w:themeColor="accent4"/>
          <w:bottom w:val="single" w:sz="8" w:space="0" w:color="006A9F" w:themeColor="accent4"/>
          <w:right w:val="single" w:sz="8" w:space="0" w:color="006A9F" w:themeColor="accent4"/>
        </w:tcBorders>
      </w:tcPr>
    </w:tblStylePr>
  </w:style>
  <w:style w:type="table" w:styleId="LightList-Accent5">
    <w:name w:val="Light List Accent 5"/>
    <w:basedOn w:val="TableNormal"/>
    <w:uiPriority w:val="61"/>
    <w:semiHidden/>
    <w:unhideWhenUsed/>
    <w:rsid w:val="009637A8"/>
    <w:pPr>
      <w:spacing w:after="0" w:line="240" w:lineRule="auto"/>
    </w:pPr>
    <w:tblPr>
      <w:tblStyleRowBandSize w:val="1"/>
      <w:tblStyleColBandSize w:val="1"/>
      <w:tblBorders>
        <w:top w:val="single" w:sz="8" w:space="0" w:color="7BBDD6" w:themeColor="accent5"/>
        <w:left w:val="single" w:sz="8" w:space="0" w:color="7BBDD6" w:themeColor="accent5"/>
        <w:bottom w:val="single" w:sz="8" w:space="0" w:color="7BBDD6" w:themeColor="accent5"/>
        <w:right w:val="single" w:sz="8" w:space="0" w:color="7BBDD6" w:themeColor="accent5"/>
      </w:tblBorders>
    </w:tblPr>
    <w:tblStylePr w:type="firstRow">
      <w:pPr>
        <w:spacing w:before="0" w:after="0" w:line="240" w:lineRule="auto"/>
      </w:pPr>
      <w:rPr>
        <w:b/>
        <w:bCs/>
        <w:color w:val="FFFFFF" w:themeColor="background1"/>
      </w:rPr>
      <w:tblPr/>
      <w:tcPr>
        <w:shd w:val="clear" w:color="auto" w:fill="7BBDD6" w:themeFill="accent5"/>
      </w:tcPr>
    </w:tblStylePr>
    <w:tblStylePr w:type="lastRow">
      <w:pPr>
        <w:spacing w:before="0" w:after="0" w:line="240" w:lineRule="auto"/>
      </w:pPr>
      <w:rPr>
        <w:b/>
        <w:bCs/>
      </w:rPr>
      <w:tblPr/>
      <w:tcPr>
        <w:tcBorders>
          <w:top w:val="double" w:sz="6" w:space="0" w:color="7BBDD6" w:themeColor="accent5"/>
          <w:left w:val="single" w:sz="8" w:space="0" w:color="7BBDD6" w:themeColor="accent5"/>
          <w:bottom w:val="single" w:sz="8" w:space="0" w:color="7BBDD6" w:themeColor="accent5"/>
          <w:right w:val="single" w:sz="8" w:space="0" w:color="7BBDD6" w:themeColor="accent5"/>
        </w:tcBorders>
      </w:tcPr>
    </w:tblStylePr>
    <w:tblStylePr w:type="firstCol">
      <w:rPr>
        <w:b/>
        <w:bCs/>
      </w:rPr>
    </w:tblStylePr>
    <w:tblStylePr w:type="lastCol">
      <w:rPr>
        <w:b/>
        <w:bCs/>
      </w:rPr>
    </w:tblStylePr>
    <w:tblStylePr w:type="band1Vert">
      <w:tblPr/>
      <w:tcPr>
        <w:tcBorders>
          <w:top w:val="single" w:sz="8" w:space="0" w:color="7BBDD6" w:themeColor="accent5"/>
          <w:left w:val="single" w:sz="8" w:space="0" w:color="7BBDD6" w:themeColor="accent5"/>
          <w:bottom w:val="single" w:sz="8" w:space="0" w:color="7BBDD6" w:themeColor="accent5"/>
          <w:right w:val="single" w:sz="8" w:space="0" w:color="7BBDD6" w:themeColor="accent5"/>
        </w:tcBorders>
      </w:tcPr>
    </w:tblStylePr>
    <w:tblStylePr w:type="band1Horz">
      <w:tblPr/>
      <w:tcPr>
        <w:tcBorders>
          <w:top w:val="single" w:sz="8" w:space="0" w:color="7BBDD6" w:themeColor="accent5"/>
          <w:left w:val="single" w:sz="8" w:space="0" w:color="7BBDD6" w:themeColor="accent5"/>
          <w:bottom w:val="single" w:sz="8" w:space="0" w:color="7BBDD6" w:themeColor="accent5"/>
          <w:right w:val="single" w:sz="8" w:space="0" w:color="7BBDD6" w:themeColor="accent5"/>
        </w:tcBorders>
      </w:tcPr>
    </w:tblStylePr>
  </w:style>
  <w:style w:type="table" w:styleId="LightList-Accent6">
    <w:name w:val="Light List Accent 6"/>
    <w:basedOn w:val="TableNormal"/>
    <w:uiPriority w:val="61"/>
    <w:semiHidden/>
    <w:unhideWhenUsed/>
    <w:rsid w:val="009637A8"/>
    <w:pPr>
      <w:spacing w:after="0" w:line="240" w:lineRule="auto"/>
    </w:pPr>
    <w:tblPr>
      <w:tblStyleRowBandSize w:val="1"/>
      <w:tblStyleColBandSize w:val="1"/>
      <w:tblBorders>
        <w:top w:val="single" w:sz="8" w:space="0" w:color="428D52" w:themeColor="accent6"/>
        <w:left w:val="single" w:sz="8" w:space="0" w:color="428D52" w:themeColor="accent6"/>
        <w:bottom w:val="single" w:sz="8" w:space="0" w:color="428D52" w:themeColor="accent6"/>
        <w:right w:val="single" w:sz="8" w:space="0" w:color="428D52" w:themeColor="accent6"/>
      </w:tblBorders>
    </w:tblPr>
    <w:tblStylePr w:type="firstRow">
      <w:pPr>
        <w:spacing w:before="0" w:after="0" w:line="240" w:lineRule="auto"/>
      </w:pPr>
      <w:rPr>
        <w:b/>
        <w:bCs/>
        <w:color w:val="FFFFFF" w:themeColor="background1"/>
      </w:rPr>
      <w:tblPr/>
      <w:tcPr>
        <w:shd w:val="clear" w:color="auto" w:fill="428D52" w:themeFill="accent6"/>
      </w:tcPr>
    </w:tblStylePr>
    <w:tblStylePr w:type="lastRow">
      <w:pPr>
        <w:spacing w:before="0" w:after="0" w:line="240" w:lineRule="auto"/>
      </w:pPr>
      <w:rPr>
        <w:b/>
        <w:bCs/>
      </w:rPr>
      <w:tblPr/>
      <w:tcPr>
        <w:tcBorders>
          <w:top w:val="double" w:sz="6" w:space="0" w:color="428D52" w:themeColor="accent6"/>
          <w:left w:val="single" w:sz="8" w:space="0" w:color="428D52" w:themeColor="accent6"/>
          <w:bottom w:val="single" w:sz="8" w:space="0" w:color="428D52" w:themeColor="accent6"/>
          <w:right w:val="single" w:sz="8" w:space="0" w:color="428D52" w:themeColor="accent6"/>
        </w:tcBorders>
      </w:tcPr>
    </w:tblStylePr>
    <w:tblStylePr w:type="firstCol">
      <w:rPr>
        <w:b/>
        <w:bCs/>
      </w:rPr>
    </w:tblStylePr>
    <w:tblStylePr w:type="lastCol">
      <w:rPr>
        <w:b/>
        <w:bCs/>
      </w:rPr>
    </w:tblStylePr>
    <w:tblStylePr w:type="band1Vert">
      <w:tblPr/>
      <w:tcPr>
        <w:tcBorders>
          <w:top w:val="single" w:sz="8" w:space="0" w:color="428D52" w:themeColor="accent6"/>
          <w:left w:val="single" w:sz="8" w:space="0" w:color="428D52" w:themeColor="accent6"/>
          <w:bottom w:val="single" w:sz="8" w:space="0" w:color="428D52" w:themeColor="accent6"/>
          <w:right w:val="single" w:sz="8" w:space="0" w:color="428D52" w:themeColor="accent6"/>
        </w:tcBorders>
      </w:tcPr>
    </w:tblStylePr>
    <w:tblStylePr w:type="band1Horz">
      <w:tblPr/>
      <w:tcPr>
        <w:tcBorders>
          <w:top w:val="single" w:sz="8" w:space="0" w:color="428D52" w:themeColor="accent6"/>
          <w:left w:val="single" w:sz="8" w:space="0" w:color="428D52" w:themeColor="accent6"/>
          <w:bottom w:val="single" w:sz="8" w:space="0" w:color="428D52" w:themeColor="accent6"/>
          <w:right w:val="single" w:sz="8" w:space="0" w:color="428D52" w:themeColor="accent6"/>
        </w:tcBorders>
      </w:tcPr>
    </w:tblStylePr>
  </w:style>
  <w:style w:type="table" w:styleId="LightShading">
    <w:name w:val="Light Shading"/>
    <w:basedOn w:val="TableNormal"/>
    <w:uiPriority w:val="60"/>
    <w:semiHidden/>
    <w:unhideWhenUsed/>
    <w:rsid w:val="009637A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637A8"/>
    <w:pPr>
      <w:spacing w:after="0" w:line="240" w:lineRule="auto"/>
    </w:pPr>
    <w:rPr>
      <w:color w:val="72549D" w:themeColor="accent1" w:themeShade="BF"/>
    </w:rPr>
    <w:tblPr>
      <w:tblStyleRowBandSize w:val="1"/>
      <w:tblStyleColBandSize w:val="1"/>
      <w:tblBorders>
        <w:top w:val="single" w:sz="8" w:space="0" w:color="9D85BE" w:themeColor="accent1"/>
        <w:bottom w:val="single" w:sz="8" w:space="0" w:color="9D85BE" w:themeColor="accent1"/>
      </w:tblBorders>
    </w:tblPr>
    <w:tblStylePr w:type="firstRow">
      <w:pPr>
        <w:spacing w:before="0" w:after="0" w:line="240" w:lineRule="auto"/>
      </w:pPr>
      <w:rPr>
        <w:b/>
        <w:bCs/>
      </w:rPr>
      <w:tblPr/>
      <w:tcPr>
        <w:tcBorders>
          <w:top w:val="single" w:sz="8" w:space="0" w:color="9D85BE" w:themeColor="accent1"/>
          <w:left w:val="nil"/>
          <w:bottom w:val="single" w:sz="8" w:space="0" w:color="9D85BE" w:themeColor="accent1"/>
          <w:right w:val="nil"/>
          <w:insideH w:val="nil"/>
          <w:insideV w:val="nil"/>
        </w:tcBorders>
      </w:tcPr>
    </w:tblStylePr>
    <w:tblStylePr w:type="lastRow">
      <w:pPr>
        <w:spacing w:before="0" w:after="0" w:line="240" w:lineRule="auto"/>
      </w:pPr>
      <w:rPr>
        <w:b/>
        <w:bCs/>
      </w:rPr>
      <w:tblPr/>
      <w:tcPr>
        <w:tcBorders>
          <w:top w:val="single" w:sz="8" w:space="0" w:color="9D85BE" w:themeColor="accent1"/>
          <w:left w:val="nil"/>
          <w:bottom w:val="single" w:sz="8" w:space="0" w:color="9D85B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0EF" w:themeFill="accent1" w:themeFillTint="3F"/>
      </w:tcPr>
    </w:tblStylePr>
    <w:tblStylePr w:type="band1Horz">
      <w:tblPr/>
      <w:tcPr>
        <w:tcBorders>
          <w:left w:val="nil"/>
          <w:right w:val="nil"/>
          <w:insideH w:val="nil"/>
          <w:insideV w:val="nil"/>
        </w:tcBorders>
        <w:shd w:val="clear" w:color="auto" w:fill="E6E0EF" w:themeFill="accent1" w:themeFillTint="3F"/>
      </w:tcPr>
    </w:tblStylePr>
  </w:style>
  <w:style w:type="table" w:styleId="LightShading-Accent2">
    <w:name w:val="Light Shading Accent 2"/>
    <w:basedOn w:val="TableNormal"/>
    <w:uiPriority w:val="60"/>
    <w:semiHidden/>
    <w:unhideWhenUsed/>
    <w:rsid w:val="009637A8"/>
    <w:pPr>
      <w:spacing w:after="0" w:line="240" w:lineRule="auto"/>
    </w:pPr>
    <w:rPr>
      <w:color w:val="5D5D5D" w:themeColor="accent2" w:themeShade="BF"/>
    </w:rPr>
    <w:tblPr>
      <w:tblStyleRowBandSize w:val="1"/>
      <w:tblStyleColBandSize w:val="1"/>
      <w:tblBorders>
        <w:top w:val="single" w:sz="8" w:space="0" w:color="7D7D7D" w:themeColor="accent2"/>
        <w:bottom w:val="single" w:sz="8" w:space="0" w:color="7D7D7D" w:themeColor="accent2"/>
      </w:tblBorders>
    </w:tblPr>
    <w:tblStylePr w:type="firstRow">
      <w:pPr>
        <w:spacing w:before="0" w:after="0" w:line="240" w:lineRule="auto"/>
      </w:pPr>
      <w:rPr>
        <w:b/>
        <w:bCs/>
      </w:rPr>
      <w:tblPr/>
      <w:tcPr>
        <w:tcBorders>
          <w:top w:val="single" w:sz="8" w:space="0" w:color="7D7D7D" w:themeColor="accent2"/>
          <w:left w:val="nil"/>
          <w:bottom w:val="single" w:sz="8" w:space="0" w:color="7D7D7D" w:themeColor="accent2"/>
          <w:right w:val="nil"/>
          <w:insideH w:val="nil"/>
          <w:insideV w:val="nil"/>
        </w:tcBorders>
      </w:tcPr>
    </w:tblStylePr>
    <w:tblStylePr w:type="lastRow">
      <w:pPr>
        <w:spacing w:before="0" w:after="0" w:line="240" w:lineRule="auto"/>
      </w:pPr>
      <w:rPr>
        <w:b/>
        <w:bCs/>
      </w:rPr>
      <w:tblPr/>
      <w:tcPr>
        <w:tcBorders>
          <w:top w:val="single" w:sz="8" w:space="0" w:color="7D7D7D" w:themeColor="accent2"/>
          <w:left w:val="nil"/>
          <w:bottom w:val="single" w:sz="8" w:space="0" w:color="7D7D7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EDE" w:themeFill="accent2" w:themeFillTint="3F"/>
      </w:tcPr>
    </w:tblStylePr>
    <w:tblStylePr w:type="band1Horz">
      <w:tblPr/>
      <w:tcPr>
        <w:tcBorders>
          <w:left w:val="nil"/>
          <w:right w:val="nil"/>
          <w:insideH w:val="nil"/>
          <w:insideV w:val="nil"/>
        </w:tcBorders>
        <w:shd w:val="clear" w:color="auto" w:fill="DEDEDE" w:themeFill="accent2" w:themeFillTint="3F"/>
      </w:tcPr>
    </w:tblStylePr>
  </w:style>
  <w:style w:type="table" w:styleId="LightShading-Accent3">
    <w:name w:val="Light Shading Accent 3"/>
    <w:basedOn w:val="TableNormal"/>
    <w:uiPriority w:val="60"/>
    <w:semiHidden/>
    <w:unhideWhenUsed/>
    <w:rsid w:val="009637A8"/>
    <w:pPr>
      <w:spacing w:after="0" w:line="240" w:lineRule="auto"/>
    </w:pPr>
    <w:rPr>
      <w:color w:val="959595" w:themeColor="accent3" w:themeShade="BF"/>
    </w:rPr>
    <w:tblPr>
      <w:tblStyleRowBandSize w:val="1"/>
      <w:tblStyleColBandSize w:val="1"/>
      <w:tblBorders>
        <w:top w:val="single" w:sz="8" w:space="0" w:color="C8C8C8" w:themeColor="accent3"/>
        <w:bottom w:val="single" w:sz="8" w:space="0" w:color="C8C8C8" w:themeColor="accent3"/>
      </w:tblBorders>
    </w:tblPr>
    <w:tblStylePr w:type="firstRow">
      <w:pPr>
        <w:spacing w:before="0" w:after="0" w:line="240" w:lineRule="auto"/>
      </w:pPr>
      <w:rPr>
        <w:b/>
        <w:bCs/>
      </w:rPr>
      <w:tblPr/>
      <w:tcPr>
        <w:tcBorders>
          <w:top w:val="single" w:sz="8" w:space="0" w:color="C8C8C8" w:themeColor="accent3"/>
          <w:left w:val="nil"/>
          <w:bottom w:val="single" w:sz="8" w:space="0" w:color="C8C8C8" w:themeColor="accent3"/>
          <w:right w:val="nil"/>
          <w:insideH w:val="nil"/>
          <w:insideV w:val="nil"/>
        </w:tcBorders>
      </w:tcPr>
    </w:tblStylePr>
    <w:tblStylePr w:type="lastRow">
      <w:pPr>
        <w:spacing w:before="0" w:after="0" w:line="240" w:lineRule="auto"/>
      </w:pPr>
      <w:rPr>
        <w:b/>
        <w:bCs/>
      </w:rPr>
      <w:tblPr/>
      <w:tcPr>
        <w:tcBorders>
          <w:top w:val="single" w:sz="8" w:space="0" w:color="C8C8C8" w:themeColor="accent3"/>
          <w:left w:val="nil"/>
          <w:bottom w:val="single" w:sz="8" w:space="0" w:color="C8C8C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3" w:themeFillTint="3F"/>
      </w:tcPr>
    </w:tblStylePr>
    <w:tblStylePr w:type="band1Horz">
      <w:tblPr/>
      <w:tcPr>
        <w:tcBorders>
          <w:left w:val="nil"/>
          <w:right w:val="nil"/>
          <w:insideH w:val="nil"/>
          <w:insideV w:val="nil"/>
        </w:tcBorders>
        <w:shd w:val="clear" w:color="auto" w:fill="F1F1F1" w:themeFill="accent3" w:themeFillTint="3F"/>
      </w:tcPr>
    </w:tblStylePr>
  </w:style>
  <w:style w:type="table" w:styleId="LightShading-Accent4">
    <w:name w:val="Light Shading Accent 4"/>
    <w:basedOn w:val="TableNormal"/>
    <w:uiPriority w:val="60"/>
    <w:semiHidden/>
    <w:unhideWhenUsed/>
    <w:rsid w:val="009637A8"/>
    <w:pPr>
      <w:spacing w:after="0" w:line="240" w:lineRule="auto"/>
    </w:pPr>
    <w:rPr>
      <w:color w:val="004F77" w:themeColor="accent4" w:themeShade="BF"/>
    </w:rPr>
    <w:tblPr>
      <w:tblStyleRowBandSize w:val="1"/>
      <w:tblStyleColBandSize w:val="1"/>
      <w:tblBorders>
        <w:top w:val="single" w:sz="8" w:space="0" w:color="006A9F" w:themeColor="accent4"/>
        <w:bottom w:val="single" w:sz="8" w:space="0" w:color="006A9F" w:themeColor="accent4"/>
      </w:tblBorders>
    </w:tblPr>
    <w:tblStylePr w:type="firstRow">
      <w:pPr>
        <w:spacing w:before="0" w:after="0" w:line="240" w:lineRule="auto"/>
      </w:pPr>
      <w:rPr>
        <w:b/>
        <w:bCs/>
      </w:rPr>
      <w:tblPr/>
      <w:tcPr>
        <w:tcBorders>
          <w:top w:val="single" w:sz="8" w:space="0" w:color="006A9F" w:themeColor="accent4"/>
          <w:left w:val="nil"/>
          <w:bottom w:val="single" w:sz="8" w:space="0" w:color="006A9F" w:themeColor="accent4"/>
          <w:right w:val="nil"/>
          <w:insideH w:val="nil"/>
          <w:insideV w:val="nil"/>
        </w:tcBorders>
      </w:tcPr>
    </w:tblStylePr>
    <w:tblStylePr w:type="lastRow">
      <w:pPr>
        <w:spacing w:before="0" w:after="0" w:line="240" w:lineRule="auto"/>
      </w:pPr>
      <w:rPr>
        <w:b/>
        <w:bCs/>
      </w:rPr>
      <w:tblPr/>
      <w:tcPr>
        <w:tcBorders>
          <w:top w:val="single" w:sz="8" w:space="0" w:color="006A9F" w:themeColor="accent4"/>
          <w:left w:val="nil"/>
          <w:bottom w:val="single" w:sz="8" w:space="0" w:color="006A9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E2FF" w:themeFill="accent4" w:themeFillTint="3F"/>
      </w:tcPr>
    </w:tblStylePr>
    <w:tblStylePr w:type="band1Horz">
      <w:tblPr/>
      <w:tcPr>
        <w:tcBorders>
          <w:left w:val="nil"/>
          <w:right w:val="nil"/>
          <w:insideH w:val="nil"/>
          <w:insideV w:val="nil"/>
        </w:tcBorders>
        <w:shd w:val="clear" w:color="auto" w:fill="A8E2FF" w:themeFill="accent4" w:themeFillTint="3F"/>
      </w:tcPr>
    </w:tblStylePr>
  </w:style>
  <w:style w:type="table" w:styleId="LightShading-Accent5">
    <w:name w:val="Light Shading Accent 5"/>
    <w:basedOn w:val="TableNormal"/>
    <w:uiPriority w:val="60"/>
    <w:semiHidden/>
    <w:unhideWhenUsed/>
    <w:rsid w:val="009637A8"/>
    <w:pPr>
      <w:spacing w:after="0" w:line="240" w:lineRule="auto"/>
    </w:pPr>
    <w:rPr>
      <w:color w:val="3C9BC0" w:themeColor="accent5" w:themeShade="BF"/>
    </w:rPr>
    <w:tblPr>
      <w:tblStyleRowBandSize w:val="1"/>
      <w:tblStyleColBandSize w:val="1"/>
      <w:tblBorders>
        <w:top w:val="single" w:sz="8" w:space="0" w:color="7BBDD6" w:themeColor="accent5"/>
        <w:bottom w:val="single" w:sz="8" w:space="0" w:color="7BBDD6" w:themeColor="accent5"/>
      </w:tblBorders>
    </w:tblPr>
    <w:tblStylePr w:type="firstRow">
      <w:pPr>
        <w:spacing w:before="0" w:after="0" w:line="240" w:lineRule="auto"/>
      </w:pPr>
      <w:rPr>
        <w:b/>
        <w:bCs/>
      </w:rPr>
      <w:tblPr/>
      <w:tcPr>
        <w:tcBorders>
          <w:top w:val="single" w:sz="8" w:space="0" w:color="7BBDD6" w:themeColor="accent5"/>
          <w:left w:val="nil"/>
          <w:bottom w:val="single" w:sz="8" w:space="0" w:color="7BBDD6" w:themeColor="accent5"/>
          <w:right w:val="nil"/>
          <w:insideH w:val="nil"/>
          <w:insideV w:val="nil"/>
        </w:tcBorders>
      </w:tcPr>
    </w:tblStylePr>
    <w:tblStylePr w:type="lastRow">
      <w:pPr>
        <w:spacing w:before="0" w:after="0" w:line="240" w:lineRule="auto"/>
      </w:pPr>
      <w:rPr>
        <w:b/>
        <w:bCs/>
      </w:rPr>
      <w:tblPr/>
      <w:tcPr>
        <w:tcBorders>
          <w:top w:val="single" w:sz="8" w:space="0" w:color="7BBDD6" w:themeColor="accent5"/>
          <w:left w:val="nil"/>
          <w:bottom w:val="single" w:sz="8" w:space="0" w:color="7BBDD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EF4" w:themeFill="accent5" w:themeFillTint="3F"/>
      </w:tcPr>
    </w:tblStylePr>
    <w:tblStylePr w:type="band1Horz">
      <w:tblPr/>
      <w:tcPr>
        <w:tcBorders>
          <w:left w:val="nil"/>
          <w:right w:val="nil"/>
          <w:insideH w:val="nil"/>
          <w:insideV w:val="nil"/>
        </w:tcBorders>
        <w:shd w:val="clear" w:color="auto" w:fill="DEEEF4" w:themeFill="accent5" w:themeFillTint="3F"/>
      </w:tcPr>
    </w:tblStylePr>
  </w:style>
  <w:style w:type="table" w:styleId="LightShading-Accent6">
    <w:name w:val="Light Shading Accent 6"/>
    <w:basedOn w:val="TableNormal"/>
    <w:uiPriority w:val="60"/>
    <w:semiHidden/>
    <w:unhideWhenUsed/>
    <w:rsid w:val="009637A8"/>
    <w:pPr>
      <w:spacing w:after="0" w:line="240" w:lineRule="auto"/>
    </w:pPr>
    <w:rPr>
      <w:color w:val="31693D" w:themeColor="accent6" w:themeShade="BF"/>
    </w:rPr>
    <w:tblPr>
      <w:tblStyleRowBandSize w:val="1"/>
      <w:tblStyleColBandSize w:val="1"/>
      <w:tblBorders>
        <w:top w:val="single" w:sz="8" w:space="0" w:color="428D52" w:themeColor="accent6"/>
        <w:bottom w:val="single" w:sz="8" w:space="0" w:color="428D52" w:themeColor="accent6"/>
      </w:tblBorders>
    </w:tblPr>
    <w:tblStylePr w:type="firstRow">
      <w:pPr>
        <w:spacing w:before="0" w:after="0" w:line="240" w:lineRule="auto"/>
      </w:pPr>
      <w:rPr>
        <w:b/>
        <w:bCs/>
      </w:rPr>
      <w:tblPr/>
      <w:tcPr>
        <w:tcBorders>
          <w:top w:val="single" w:sz="8" w:space="0" w:color="428D52" w:themeColor="accent6"/>
          <w:left w:val="nil"/>
          <w:bottom w:val="single" w:sz="8" w:space="0" w:color="428D52" w:themeColor="accent6"/>
          <w:right w:val="nil"/>
          <w:insideH w:val="nil"/>
          <w:insideV w:val="nil"/>
        </w:tcBorders>
      </w:tcPr>
    </w:tblStylePr>
    <w:tblStylePr w:type="lastRow">
      <w:pPr>
        <w:spacing w:before="0" w:after="0" w:line="240" w:lineRule="auto"/>
      </w:pPr>
      <w:rPr>
        <w:b/>
        <w:bCs/>
      </w:rPr>
      <w:tblPr/>
      <w:tcPr>
        <w:tcBorders>
          <w:top w:val="single" w:sz="8" w:space="0" w:color="428D52" w:themeColor="accent6"/>
          <w:left w:val="nil"/>
          <w:bottom w:val="single" w:sz="8" w:space="0" w:color="428D5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7D1" w:themeFill="accent6" w:themeFillTint="3F"/>
      </w:tcPr>
    </w:tblStylePr>
    <w:tblStylePr w:type="band1Horz">
      <w:tblPr/>
      <w:tcPr>
        <w:tcBorders>
          <w:left w:val="nil"/>
          <w:right w:val="nil"/>
          <w:insideH w:val="nil"/>
          <w:insideV w:val="nil"/>
        </w:tcBorders>
        <w:shd w:val="clear" w:color="auto" w:fill="CBE7D1" w:themeFill="accent6" w:themeFillTint="3F"/>
      </w:tcPr>
    </w:tblStylePr>
  </w:style>
  <w:style w:type="character" w:styleId="LineNumber">
    <w:name w:val="line number"/>
    <w:basedOn w:val="DefaultParagraphFont"/>
    <w:uiPriority w:val="99"/>
    <w:semiHidden/>
    <w:unhideWhenUsed/>
    <w:rsid w:val="009637A8"/>
  </w:style>
  <w:style w:type="paragraph" w:styleId="List">
    <w:name w:val="List"/>
    <w:basedOn w:val="Normal"/>
    <w:uiPriority w:val="99"/>
    <w:semiHidden/>
    <w:unhideWhenUsed/>
    <w:rsid w:val="009637A8"/>
    <w:pPr>
      <w:spacing w:after="160" w:line="259" w:lineRule="auto"/>
      <w:ind w:left="283" w:hanging="283"/>
      <w:contextualSpacing/>
    </w:pPr>
  </w:style>
  <w:style w:type="paragraph" w:styleId="List2">
    <w:name w:val="List 2"/>
    <w:basedOn w:val="Normal"/>
    <w:uiPriority w:val="99"/>
    <w:semiHidden/>
    <w:unhideWhenUsed/>
    <w:rsid w:val="009637A8"/>
    <w:pPr>
      <w:spacing w:after="160" w:line="259" w:lineRule="auto"/>
      <w:ind w:left="566" w:hanging="283"/>
      <w:contextualSpacing/>
    </w:pPr>
  </w:style>
  <w:style w:type="paragraph" w:styleId="List3">
    <w:name w:val="List 3"/>
    <w:basedOn w:val="Normal"/>
    <w:uiPriority w:val="99"/>
    <w:semiHidden/>
    <w:unhideWhenUsed/>
    <w:rsid w:val="009637A8"/>
    <w:pPr>
      <w:spacing w:after="160" w:line="259" w:lineRule="auto"/>
      <w:ind w:left="849" w:hanging="283"/>
      <w:contextualSpacing/>
    </w:pPr>
  </w:style>
  <w:style w:type="paragraph" w:styleId="List4">
    <w:name w:val="List 4"/>
    <w:basedOn w:val="Normal"/>
    <w:uiPriority w:val="99"/>
    <w:semiHidden/>
    <w:unhideWhenUsed/>
    <w:rsid w:val="009637A8"/>
    <w:pPr>
      <w:spacing w:after="160" w:line="259" w:lineRule="auto"/>
      <w:ind w:left="1132" w:hanging="283"/>
      <w:contextualSpacing/>
    </w:pPr>
  </w:style>
  <w:style w:type="paragraph" w:styleId="List5">
    <w:name w:val="List 5"/>
    <w:basedOn w:val="Normal"/>
    <w:uiPriority w:val="99"/>
    <w:semiHidden/>
    <w:unhideWhenUsed/>
    <w:rsid w:val="009637A8"/>
    <w:pPr>
      <w:spacing w:after="160" w:line="259" w:lineRule="auto"/>
      <w:ind w:left="1415" w:hanging="283"/>
      <w:contextualSpacing/>
    </w:pPr>
  </w:style>
  <w:style w:type="paragraph" w:styleId="ListBullet">
    <w:name w:val="List Bullet"/>
    <w:aliases w:val="List Bullet Char1,List Bullet Char Char,List Bullet Char1 Char Char,List Bullet Char Char Char1 Char,List Bullet Char Char Char Char Char,List Bullet Char3,List Bullet Char2 Char,List Bullet Char2,List Bullet1,List Bullet Char Char1,l, Char"/>
    <w:basedOn w:val="Normal"/>
    <w:link w:val="ListBulletChar"/>
    <w:uiPriority w:val="99"/>
    <w:qFormat/>
    <w:rsid w:val="00102134"/>
    <w:pPr>
      <w:numPr>
        <w:numId w:val="9"/>
      </w:numPr>
      <w:spacing w:before="70" w:after="70"/>
    </w:pPr>
  </w:style>
  <w:style w:type="paragraph" w:styleId="ListBullet2">
    <w:name w:val="List Bullet 2"/>
    <w:aliases w:val=" Char2,Char2,2,Lista con viñetas 2,List Bullet 2 Char Char Char"/>
    <w:basedOn w:val="Normal"/>
    <w:uiPriority w:val="99"/>
    <w:qFormat/>
    <w:rsid w:val="000F76C4"/>
    <w:pPr>
      <w:numPr>
        <w:ilvl w:val="1"/>
        <w:numId w:val="9"/>
      </w:numPr>
      <w:spacing w:before="0" w:after="60" w:line="240" w:lineRule="atLeast"/>
    </w:pPr>
  </w:style>
  <w:style w:type="paragraph" w:styleId="ListBullet3">
    <w:name w:val="List Bullet 3"/>
    <w:aliases w:val="Lista con viñetas 3"/>
    <w:basedOn w:val="Normal"/>
    <w:uiPriority w:val="99"/>
    <w:qFormat/>
    <w:rsid w:val="000F76C4"/>
    <w:pPr>
      <w:numPr>
        <w:ilvl w:val="2"/>
        <w:numId w:val="9"/>
      </w:numPr>
      <w:spacing w:before="0" w:after="60" w:line="240" w:lineRule="atLeast"/>
    </w:pPr>
  </w:style>
  <w:style w:type="paragraph" w:styleId="ListBullet4">
    <w:name w:val="List Bullet 4"/>
    <w:basedOn w:val="Normal"/>
    <w:uiPriority w:val="99"/>
    <w:semiHidden/>
    <w:unhideWhenUsed/>
    <w:rsid w:val="009637A8"/>
    <w:pPr>
      <w:numPr>
        <w:numId w:val="1"/>
      </w:numPr>
      <w:tabs>
        <w:tab w:val="clear" w:pos="1209"/>
      </w:tabs>
      <w:spacing w:after="160" w:line="259" w:lineRule="auto"/>
      <w:ind w:left="0" w:firstLine="0"/>
      <w:contextualSpacing/>
    </w:pPr>
  </w:style>
  <w:style w:type="paragraph" w:styleId="ListBullet5">
    <w:name w:val="List Bullet 5"/>
    <w:basedOn w:val="Normal"/>
    <w:uiPriority w:val="99"/>
    <w:semiHidden/>
    <w:unhideWhenUsed/>
    <w:rsid w:val="009637A8"/>
    <w:pPr>
      <w:numPr>
        <w:numId w:val="2"/>
      </w:numPr>
      <w:spacing w:after="160" w:line="259" w:lineRule="auto"/>
      <w:contextualSpacing/>
    </w:pPr>
  </w:style>
  <w:style w:type="paragraph" w:styleId="ListContinue">
    <w:name w:val="List Continue"/>
    <w:basedOn w:val="Normal"/>
    <w:uiPriority w:val="99"/>
    <w:semiHidden/>
    <w:unhideWhenUsed/>
    <w:rsid w:val="009637A8"/>
    <w:pPr>
      <w:spacing w:line="259" w:lineRule="auto"/>
      <w:ind w:left="283"/>
      <w:contextualSpacing/>
    </w:pPr>
  </w:style>
  <w:style w:type="paragraph" w:styleId="ListContinue2">
    <w:name w:val="List Continue 2"/>
    <w:basedOn w:val="Normal"/>
    <w:uiPriority w:val="99"/>
    <w:semiHidden/>
    <w:unhideWhenUsed/>
    <w:rsid w:val="009637A8"/>
    <w:pPr>
      <w:spacing w:line="259" w:lineRule="auto"/>
      <w:ind w:left="566"/>
      <w:contextualSpacing/>
    </w:pPr>
  </w:style>
  <w:style w:type="paragraph" w:styleId="ListContinue3">
    <w:name w:val="List Continue 3"/>
    <w:basedOn w:val="Normal"/>
    <w:uiPriority w:val="99"/>
    <w:semiHidden/>
    <w:unhideWhenUsed/>
    <w:rsid w:val="009637A8"/>
    <w:pPr>
      <w:spacing w:line="259" w:lineRule="auto"/>
      <w:ind w:left="849"/>
      <w:contextualSpacing/>
    </w:pPr>
  </w:style>
  <w:style w:type="paragraph" w:styleId="ListContinue4">
    <w:name w:val="List Continue 4"/>
    <w:basedOn w:val="Normal"/>
    <w:uiPriority w:val="99"/>
    <w:semiHidden/>
    <w:unhideWhenUsed/>
    <w:rsid w:val="009637A8"/>
    <w:pPr>
      <w:spacing w:line="259" w:lineRule="auto"/>
      <w:ind w:left="1132"/>
      <w:contextualSpacing/>
    </w:pPr>
  </w:style>
  <w:style w:type="paragraph" w:styleId="ListContinue5">
    <w:name w:val="List Continue 5"/>
    <w:basedOn w:val="Normal"/>
    <w:uiPriority w:val="99"/>
    <w:semiHidden/>
    <w:unhideWhenUsed/>
    <w:rsid w:val="009637A8"/>
    <w:pPr>
      <w:spacing w:line="259" w:lineRule="auto"/>
      <w:ind w:left="1415"/>
      <w:contextualSpacing/>
    </w:pPr>
  </w:style>
  <w:style w:type="paragraph" w:styleId="ListNumber">
    <w:name w:val="List Number"/>
    <w:basedOn w:val="Normal"/>
    <w:uiPriority w:val="99"/>
    <w:qFormat/>
    <w:rsid w:val="00303C43"/>
    <w:pPr>
      <w:numPr>
        <w:numId w:val="8"/>
      </w:numPr>
      <w:spacing w:before="70" w:after="70"/>
    </w:pPr>
  </w:style>
  <w:style w:type="paragraph" w:styleId="ListNumber2">
    <w:name w:val="List Number 2"/>
    <w:basedOn w:val="Normal"/>
    <w:uiPriority w:val="99"/>
    <w:qFormat/>
    <w:rsid w:val="00303C43"/>
    <w:pPr>
      <w:numPr>
        <w:ilvl w:val="1"/>
        <w:numId w:val="8"/>
      </w:numPr>
      <w:spacing w:before="0" w:after="60" w:line="240" w:lineRule="atLeast"/>
    </w:pPr>
  </w:style>
  <w:style w:type="paragraph" w:styleId="ListNumber3">
    <w:name w:val="List Number 3"/>
    <w:basedOn w:val="Normal"/>
    <w:uiPriority w:val="99"/>
    <w:qFormat/>
    <w:rsid w:val="00303C43"/>
    <w:pPr>
      <w:numPr>
        <w:ilvl w:val="2"/>
        <w:numId w:val="8"/>
      </w:numPr>
      <w:spacing w:before="0" w:after="60" w:line="240" w:lineRule="atLeast"/>
    </w:pPr>
  </w:style>
  <w:style w:type="paragraph" w:styleId="ListNumber4">
    <w:name w:val="List Number 4"/>
    <w:basedOn w:val="Normal"/>
    <w:uiPriority w:val="99"/>
    <w:semiHidden/>
    <w:unhideWhenUsed/>
    <w:rsid w:val="009637A8"/>
    <w:pPr>
      <w:numPr>
        <w:numId w:val="3"/>
      </w:numPr>
      <w:spacing w:after="160" w:line="259" w:lineRule="auto"/>
      <w:contextualSpacing/>
    </w:pPr>
  </w:style>
  <w:style w:type="paragraph" w:styleId="ListNumber5">
    <w:name w:val="List Number 5"/>
    <w:basedOn w:val="Normal"/>
    <w:uiPriority w:val="99"/>
    <w:semiHidden/>
    <w:unhideWhenUsed/>
    <w:rsid w:val="009637A8"/>
    <w:pPr>
      <w:numPr>
        <w:numId w:val="4"/>
      </w:numPr>
      <w:spacing w:after="160" w:line="259" w:lineRule="auto"/>
      <w:contextualSpacing/>
    </w:pPr>
  </w:style>
  <w:style w:type="paragraph" w:styleId="ListParagraph">
    <w:name w:val="List Paragraph"/>
    <w:basedOn w:val="Normal"/>
    <w:uiPriority w:val="34"/>
    <w:qFormat/>
    <w:rsid w:val="009637A8"/>
    <w:pPr>
      <w:spacing w:after="160" w:line="259" w:lineRule="auto"/>
      <w:ind w:left="720"/>
      <w:contextualSpacing/>
    </w:pPr>
  </w:style>
  <w:style w:type="table" w:styleId="ListTable1Light">
    <w:name w:val="List Table 1 Light"/>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C4B5D8" w:themeColor="accent1" w:themeTint="99"/>
        </w:tcBorders>
      </w:tcPr>
    </w:tblStylePr>
    <w:tblStylePr w:type="lastRow">
      <w:rPr>
        <w:b/>
        <w:bCs/>
      </w:rPr>
      <w:tblPr/>
      <w:tcPr>
        <w:tcBorders>
          <w:top w:val="single" w:sz="4" w:space="0" w:color="C4B5D8" w:themeColor="accent1" w:themeTint="99"/>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ListTable1Light-Accent2">
    <w:name w:val="List Table 1 Light Accent 2"/>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B1B1B1" w:themeColor="accent2" w:themeTint="99"/>
        </w:tcBorders>
      </w:tcPr>
    </w:tblStylePr>
    <w:tblStylePr w:type="lastRow">
      <w:rPr>
        <w:b/>
        <w:bCs/>
      </w:rPr>
      <w:tblPr/>
      <w:tcPr>
        <w:tcBorders>
          <w:top w:val="single" w:sz="4" w:space="0" w:color="B1B1B1" w:themeColor="accent2" w:themeTint="99"/>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ListTable1Light-Accent3">
    <w:name w:val="List Table 1 Light Accent 3"/>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DEDEDE" w:themeColor="accent3" w:themeTint="99"/>
        </w:tcBorders>
      </w:tcPr>
    </w:tblStylePr>
    <w:tblStylePr w:type="lastRow">
      <w:rPr>
        <w:b/>
        <w:bCs/>
      </w:rPr>
      <w:tblPr/>
      <w:tcPr>
        <w:tcBorders>
          <w:top w:val="single" w:sz="4" w:space="0" w:color="DEDEDE" w:themeColor="accent3" w:themeTint="99"/>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ListTable1Light-Accent4">
    <w:name w:val="List Table 1 Light Accent 4"/>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2CB8FF" w:themeColor="accent4" w:themeTint="99"/>
        </w:tcBorders>
      </w:tcPr>
    </w:tblStylePr>
    <w:tblStylePr w:type="lastRow">
      <w:rPr>
        <w:b/>
        <w:bCs/>
      </w:rPr>
      <w:tblPr/>
      <w:tcPr>
        <w:tcBorders>
          <w:top w:val="single" w:sz="4" w:space="0" w:color="2CB8FF" w:themeColor="accent4" w:themeTint="99"/>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ListTable1Light-Accent5">
    <w:name w:val="List Table 1 Light Accent 5"/>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AFD7E6" w:themeColor="accent5" w:themeTint="99"/>
        </w:tcBorders>
      </w:tcPr>
    </w:tblStylePr>
    <w:tblStylePr w:type="lastRow">
      <w:rPr>
        <w:b/>
        <w:bCs/>
      </w:rPr>
      <w:tblPr/>
      <w:tcPr>
        <w:tcBorders>
          <w:top w:val="single" w:sz="4" w:space="0" w:color="AFD7E6" w:themeColor="accent5" w:themeTint="99"/>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ListTable1Light-Accent6">
    <w:name w:val="List Table 1 Light Accent 6"/>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83C590" w:themeColor="accent6" w:themeTint="99"/>
        </w:tcBorders>
      </w:tcPr>
    </w:tblStylePr>
    <w:tblStylePr w:type="lastRow">
      <w:rPr>
        <w:b/>
        <w:bCs/>
      </w:rPr>
      <w:tblPr/>
      <w:tcPr>
        <w:tcBorders>
          <w:top w:val="single" w:sz="4" w:space="0" w:color="83C590" w:themeColor="accent6" w:themeTint="99"/>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ListTable2">
    <w:name w:val="List Table 2"/>
    <w:basedOn w:val="TableNormal"/>
    <w:uiPriority w:val="47"/>
    <w:rsid w:val="009637A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637A8"/>
    <w:pPr>
      <w:spacing w:after="0" w:line="240" w:lineRule="auto"/>
    </w:pPr>
    <w:tblPr>
      <w:tblStyleRowBandSize w:val="1"/>
      <w:tblStyleColBandSize w:val="1"/>
      <w:tblBorders>
        <w:top w:val="single" w:sz="4" w:space="0" w:color="C4B5D8" w:themeColor="accent1" w:themeTint="99"/>
        <w:bottom w:val="single" w:sz="4" w:space="0" w:color="C4B5D8" w:themeColor="accent1" w:themeTint="99"/>
        <w:insideH w:val="single" w:sz="4" w:space="0" w:color="C4B5D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ListTable2-Accent2">
    <w:name w:val="List Table 2 Accent 2"/>
    <w:basedOn w:val="TableNormal"/>
    <w:uiPriority w:val="47"/>
    <w:rsid w:val="009637A8"/>
    <w:pPr>
      <w:spacing w:after="0" w:line="240" w:lineRule="auto"/>
    </w:pPr>
    <w:tblPr>
      <w:tblStyleRowBandSize w:val="1"/>
      <w:tblStyleColBandSize w:val="1"/>
      <w:tblBorders>
        <w:top w:val="single" w:sz="4" w:space="0" w:color="B1B1B1" w:themeColor="accent2" w:themeTint="99"/>
        <w:bottom w:val="single" w:sz="4" w:space="0" w:color="B1B1B1" w:themeColor="accent2" w:themeTint="99"/>
        <w:insideH w:val="single" w:sz="4" w:space="0" w:color="B1B1B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ListTable2-Accent3">
    <w:name w:val="List Table 2 Accent 3"/>
    <w:basedOn w:val="TableNormal"/>
    <w:uiPriority w:val="47"/>
    <w:rsid w:val="009637A8"/>
    <w:pPr>
      <w:spacing w:after="0" w:line="240" w:lineRule="auto"/>
    </w:pPr>
    <w:tblPr>
      <w:tblStyleRowBandSize w:val="1"/>
      <w:tblStyleColBandSize w:val="1"/>
      <w:tblBorders>
        <w:top w:val="single" w:sz="4" w:space="0" w:color="DEDEDE" w:themeColor="accent3" w:themeTint="99"/>
        <w:bottom w:val="single" w:sz="4" w:space="0" w:color="DEDEDE" w:themeColor="accent3" w:themeTint="99"/>
        <w:insideH w:val="single" w:sz="4" w:space="0" w:color="DEDED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ListTable2-Accent4">
    <w:name w:val="List Table 2 Accent 4"/>
    <w:basedOn w:val="TableNormal"/>
    <w:uiPriority w:val="47"/>
    <w:rsid w:val="009637A8"/>
    <w:pPr>
      <w:spacing w:after="0" w:line="240" w:lineRule="auto"/>
    </w:pPr>
    <w:tblPr>
      <w:tblStyleRowBandSize w:val="1"/>
      <w:tblStyleColBandSize w:val="1"/>
      <w:tblBorders>
        <w:top w:val="single" w:sz="4" w:space="0" w:color="2CB8FF" w:themeColor="accent4" w:themeTint="99"/>
        <w:bottom w:val="single" w:sz="4" w:space="0" w:color="2CB8FF" w:themeColor="accent4" w:themeTint="99"/>
        <w:insideH w:val="single" w:sz="4" w:space="0" w:color="2CB8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ListTable2-Accent5">
    <w:name w:val="List Table 2 Accent 5"/>
    <w:basedOn w:val="TableNormal"/>
    <w:uiPriority w:val="47"/>
    <w:rsid w:val="009637A8"/>
    <w:pPr>
      <w:spacing w:after="0" w:line="240" w:lineRule="auto"/>
    </w:pPr>
    <w:tblPr>
      <w:tblStyleRowBandSize w:val="1"/>
      <w:tblStyleColBandSize w:val="1"/>
      <w:tblBorders>
        <w:top w:val="single" w:sz="4" w:space="0" w:color="AFD7E6" w:themeColor="accent5" w:themeTint="99"/>
        <w:bottom w:val="single" w:sz="4" w:space="0" w:color="AFD7E6" w:themeColor="accent5" w:themeTint="99"/>
        <w:insideH w:val="single" w:sz="4" w:space="0" w:color="AFD7E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ListTable2-Accent6">
    <w:name w:val="List Table 2 Accent 6"/>
    <w:basedOn w:val="TableNormal"/>
    <w:uiPriority w:val="47"/>
    <w:rsid w:val="009637A8"/>
    <w:pPr>
      <w:spacing w:after="0" w:line="240" w:lineRule="auto"/>
    </w:pPr>
    <w:tblPr>
      <w:tblStyleRowBandSize w:val="1"/>
      <w:tblStyleColBandSize w:val="1"/>
      <w:tblBorders>
        <w:top w:val="single" w:sz="4" w:space="0" w:color="83C590" w:themeColor="accent6" w:themeTint="99"/>
        <w:bottom w:val="single" w:sz="4" w:space="0" w:color="83C590" w:themeColor="accent6" w:themeTint="99"/>
        <w:insideH w:val="single" w:sz="4" w:space="0" w:color="83C59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ListTable3">
    <w:name w:val="List Table 3"/>
    <w:basedOn w:val="TableNormal"/>
    <w:uiPriority w:val="48"/>
    <w:rsid w:val="009637A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637A8"/>
    <w:pPr>
      <w:spacing w:after="0" w:line="240" w:lineRule="auto"/>
    </w:pPr>
    <w:tblPr>
      <w:tblStyleRowBandSize w:val="1"/>
      <w:tblStyleColBandSize w:val="1"/>
      <w:tblBorders>
        <w:top w:val="single" w:sz="4" w:space="0" w:color="9D85BE" w:themeColor="accent1"/>
        <w:left w:val="single" w:sz="4" w:space="0" w:color="9D85BE" w:themeColor="accent1"/>
        <w:bottom w:val="single" w:sz="4" w:space="0" w:color="9D85BE" w:themeColor="accent1"/>
        <w:right w:val="single" w:sz="4" w:space="0" w:color="9D85BE" w:themeColor="accent1"/>
      </w:tblBorders>
    </w:tblPr>
    <w:tblStylePr w:type="firstRow">
      <w:rPr>
        <w:b/>
        <w:bCs/>
        <w:color w:val="FFFFFF" w:themeColor="background1"/>
      </w:rPr>
      <w:tblPr/>
      <w:tcPr>
        <w:shd w:val="clear" w:color="auto" w:fill="9D85BE" w:themeFill="accent1"/>
      </w:tcPr>
    </w:tblStylePr>
    <w:tblStylePr w:type="lastRow">
      <w:rPr>
        <w:b/>
        <w:bCs/>
      </w:rPr>
      <w:tblPr/>
      <w:tcPr>
        <w:tcBorders>
          <w:top w:val="double" w:sz="4" w:space="0" w:color="9D85B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D85BE" w:themeColor="accent1"/>
          <w:right w:val="single" w:sz="4" w:space="0" w:color="9D85BE" w:themeColor="accent1"/>
        </w:tcBorders>
      </w:tcPr>
    </w:tblStylePr>
    <w:tblStylePr w:type="band1Horz">
      <w:tblPr/>
      <w:tcPr>
        <w:tcBorders>
          <w:top w:val="single" w:sz="4" w:space="0" w:color="9D85BE" w:themeColor="accent1"/>
          <w:bottom w:val="single" w:sz="4" w:space="0" w:color="9D85B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D85BE" w:themeColor="accent1"/>
          <w:left w:val="nil"/>
        </w:tcBorders>
      </w:tcPr>
    </w:tblStylePr>
    <w:tblStylePr w:type="swCell">
      <w:tblPr/>
      <w:tcPr>
        <w:tcBorders>
          <w:top w:val="double" w:sz="4" w:space="0" w:color="9D85BE" w:themeColor="accent1"/>
          <w:right w:val="nil"/>
        </w:tcBorders>
      </w:tcPr>
    </w:tblStylePr>
  </w:style>
  <w:style w:type="table" w:styleId="ListTable3-Accent2">
    <w:name w:val="List Table 3 Accent 2"/>
    <w:basedOn w:val="TableNormal"/>
    <w:uiPriority w:val="48"/>
    <w:rsid w:val="009637A8"/>
    <w:pPr>
      <w:spacing w:after="0" w:line="240" w:lineRule="auto"/>
    </w:pPr>
    <w:tblPr>
      <w:tblStyleRowBandSize w:val="1"/>
      <w:tblStyleColBandSize w:val="1"/>
      <w:tblBorders>
        <w:top w:val="single" w:sz="4" w:space="0" w:color="7D7D7D" w:themeColor="accent2"/>
        <w:left w:val="single" w:sz="4" w:space="0" w:color="7D7D7D" w:themeColor="accent2"/>
        <w:bottom w:val="single" w:sz="4" w:space="0" w:color="7D7D7D" w:themeColor="accent2"/>
        <w:right w:val="single" w:sz="4" w:space="0" w:color="7D7D7D" w:themeColor="accent2"/>
      </w:tblBorders>
    </w:tblPr>
    <w:tblStylePr w:type="firstRow">
      <w:rPr>
        <w:b/>
        <w:bCs/>
        <w:color w:val="FFFFFF" w:themeColor="background1"/>
      </w:rPr>
      <w:tblPr/>
      <w:tcPr>
        <w:shd w:val="clear" w:color="auto" w:fill="7D7D7D" w:themeFill="accent2"/>
      </w:tcPr>
    </w:tblStylePr>
    <w:tblStylePr w:type="lastRow">
      <w:rPr>
        <w:b/>
        <w:bCs/>
      </w:rPr>
      <w:tblPr/>
      <w:tcPr>
        <w:tcBorders>
          <w:top w:val="double" w:sz="4" w:space="0" w:color="7D7D7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D7D7D" w:themeColor="accent2"/>
          <w:right w:val="single" w:sz="4" w:space="0" w:color="7D7D7D" w:themeColor="accent2"/>
        </w:tcBorders>
      </w:tcPr>
    </w:tblStylePr>
    <w:tblStylePr w:type="band1Horz">
      <w:tblPr/>
      <w:tcPr>
        <w:tcBorders>
          <w:top w:val="single" w:sz="4" w:space="0" w:color="7D7D7D" w:themeColor="accent2"/>
          <w:bottom w:val="single" w:sz="4" w:space="0" w:color="7D7D7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7D7D" w:themeColor="accent2"/>
          <w:left w:val="nil"/>
        </w:tcBorders>
      </w:tcPr>
    </w:tblStylePr>
    <w:tblStylePr w:type="swCell">
      <w:tblPr/>
      <w:tcPr>
        <w:tcBorders>
          <w:top w:val="double" w:sz="4" w:space="0" w:color="7D7D7D" w:themeColor="accent2"/>
          <w:right w:val="nil"/>
        </w:tcBorders>
      </w:tcPr>
    </w:tblStylePr>
  </w:style>
  <w:style w:type="table" w:styleId="ListTable3-Accent3">
    <w:name w:val="List Table 3 Accent 3"/>
    <w:basedOn w:val="TableNormal"/>
    <w:uiPriority w:val="48"/>
    <w:rsid w:val="009637A8"/>
    <w:pPr>
      <w:spacing w:after="0" w:line="240" w:lineRule="auto"/>
    </w:pPr>
    <w:tblPr>
      <w:tblStyleRowBandSize w:val="1"/>
      <w:tblStyleColBandSize w:val="1"/>
      <w:tblBorders>
        <w:top w:val="single" w:sz="4" w:space="0" w:color="C8C8C8" w:themeColor="accent3"/>
        <w:left w:val="single" w:sz="4" w:space="0" w:color="C8C8C8" w:themeColor="accent3"/>
        <w:bottom w:val="single" w:sz="4" w:space="0" w:color="C8C8C8" w:themeColor="accent3"/>
        <w:right w:val="single" w:sz="4" w:space="0" w:color="C8C8C8" w:themeColor="accent3"/>
      </w:tblBorders>
    </w:tblPr>
    <w:tblStylePr w:type="firstRow">
      <w:rPr>
        <w:b/>
        <w:bCs/>
        <w:color w:val="FFFFFF" w:themeColor="background1"/>
      </w:rPr>
      <w:tblPr/>
      <w:tcPr>
        <w:shd w:val="clear" w:color="auto" w:fill="C8C8C8" w:themeFill="accent3"/>
      </w:tcPr>
    </w:tblStylePr>
    <w:tblStylePr w:type="lastRow">
      <w:rPr>
        <w:b/>
        <w:bCs/>
      </w:rPr>
      <w:tblPr/>
      <w:tcPr>
        <w:tcBorders>
          <w:top w:val="double" w:sz="4" w:space="0" w:color="C8C8C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C8C8" w:themeColor="accent3"/>
          <w:right w:val="single" w:sz="4" w:space="0" w:color="C8C8C8" w:themeColor="accent3"/>
        </w:tcBorders>
      </w:tcPr>
    </w:tblStylePr>
    <w:tblStylePr w:type="band1Horz">
      <w:tblPr/>
      <w:tcPr>
        <w:tcBorders>
          <w:top w:val="single" w:sz="4" w:space="0" w:color="C8C8C8" w:themeColor="accent3"/>
          <w:bottom w:val="single" w:sz="4" w:space="0" w:color="C8C8C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C8C8" w:themeColor="accent3"/>
          <w:left w:val="nil"/>
        </w:tcBorders>
      </w:tcPr>
    </w:tblStylePr>
    <w:tblStylePr w:type="swCell">
      <w:tblPr/>
      <w:tcPr>
        <w:tcBorders>
          <w:top w:val="double" w:sz="4" w:space="0" w:color="C8C8C8" w:themeColor="accent3"/>
          <w:right w:val="nil"/>
        </w:tcBorders>
      </w:tcPr>
    </w:tblStylePr>
  </w:style>
  <w:style w:type="table" w:styleId="ListTable3-Accent4">
    <w:name w:val="List Table 3 Accent 4"/>
    <w:basedOn w:val="TableNormal"/>
    <w:uiPriority w:val="48"/>
    <w:rsid w:val="009637A8"/>
    <w:pPr>
      <w:spacing w:after="0" w:line="240" w:lineRule="auto"/>
    </w:pPr>
    <w:tblPr>
      <w:tblStyleRowBandSize w:val="1"/>
      <w:tblStyleColBandSize w:val="1"/>
      <w:tblBorders>
        <w:top w:val="single" w:sz="4" w:space="0" w:color="006A9F" w:themeColor="accent4"/>
        <w:left w:val="single" w:sz="4" w:space="0" w:color="006A9F" w:themeColor="accent4"/>
        <w:bottom w:val="single" w:sz="4" w:space="0" w:color="006A9F" w:themeColor="accent4"/>
        <w:right w:val="single" w:sz="4" w:space="0" w:color="006A9F" w:themeColor="accent4"/>
      </w:tblBorders>
    </w:tblPr>
    <w:tblStylePr w:type="firstRow">
      <w:rPr>
        <w:b/>
        <w:bCs/>
        <w:color w:val="FFFFFF" w:themeColor="background1"/>
      </w:rPr>
      <w:tblPr/>
      <w:tcPr>
        <w:shd w:val="clear" w:color="auto" w:fill="006A9F" w:themeFill="accent4"/>
      </w:tcPr>
    </w:tblStylePr>
    <w:tblStylePr w:type="lastRow">
      <w:rPr>
        <w:b/>
        <w:bCs/>
      </w:rPr>
      <w:tblPr/>
      <w:tcPr>
        <w:tcBorders>
          <w:top w:val="double" w:sz="4" w:space="0" w:color="006A9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A9F" w:themeColor="accent4"/>
          <w:right w:val="single" w:sz="4" w:space="0" w:color="006A9F" w:themeColor="accent4"/>
        </w:tcBorders>
      </w:tcPr>
    </w:tblStylePr>
    <w:tblStylePr w:type="band1Horz">
      <w:tblPr/>
      <w:tcPr>
        <w:tcBorders>
          <w:top w:val="single" w:sz="4" w:space="0" w:color="006A9F" w:themeColor="accent4"/>
          <w:bottom w:val="single" w:sz="4" w:space="0" w:color="006A9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A9F" w:themeColor="accent4"/>
          <w:left w:val="nil"/>
        </w:tcBorders>
      </w:tcPr>
    </w:tblStylePr>
    <w:tblStylePr w:type="swCell">
      <w:tblPr/>
      <w:tcPr>
        <w:tcBorders>
          <w:top w:val="double" w:sz="4" w:space="0" w:color="006A9F" w:themeColor="accent4"/>
          <w:right w:val="nil"/>
        </w:tcBorders>
      </w:tcPr>
    </w:tblStylePr>
  </w:style>
  <w:style w:type="table" w:styleId="ListTable3-Accent5">
    <w:name w:val="List Table 3 Accent 5"/>
    <w:basedOn w:val="TableNormal"/>
    <w:uiPriority w:val="48"/>
    <w:rsid w:val="009637A8"/>
    <w:pPr>
      <w:spacing w:after="0" w:line="240" w:lineRule="auto"/>
    </w:pPr>
    <w:tblPr>
      <w:tblStyleRowBandSize w:val="1"/>
      <w:tblStyleColBandSize w:val="1"/>
      <w:tblBorders>
        <w:top w:val="single" w:sz="4" w:space="0" w:color="7BBDD6" w:themeColor="accent5"/>
        <w:left w:val="single" w:sz="4" w:space="0" w:color="7BBDD6" w:themeColor="accent5"/>
        <w:bottom w:val="single" w:sz="4" w:space="0" w:color="7BBDD6" w:themeColor="accent5"/>
        <w:right w:val="single" w:sz="4" w:space="0" w:color="7BBDD6" w:themeColor="accent5"/>
      </w:tblBorders>
    </w:tblPr>
    <w:tblStylePr w:type="firstRow">
      <w:rPr>
        <w:b/>
        <w:bCs/>
        <w:color w:val="FFFFFF" w:themeColor="background1"/>
      </w:rPr>
      <w:tblPr/>
      <w:tcPr>
        <w:shd w:val="clear" w:color="auto" w:fill="7BBDD6" w:themeFill="accent5"/>
      </w:tcPr>
    </w:tblStylePr>
    <w:tblStylePr w:type="lastRow">
      <w:rPr>
        <w:b/>
        <w:bCs/>
      </w:rPr>
      <w:tblPr/>
      <w:tcPr>
        <w:tcBorders>
          <w:top w:val="double" w:sz="4" w:space="0" w:color="7BBDD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BBDD6" w:themeColor="accent5"/>
          <w:right w:val="single" w:sz="4" w:space="0" w:color="7BBDD6" w:themeColor="accent5"/>
        </w:tcBorders>
      </w:tcPr>
    </w:tblStylePr>
    <w:tblStylePr w:type="band1Horz">
      <w:tblPr/>
      <w:tcPr>
        <w:tcBorders>
          <w:top w:val="single" w:sz="4" w:space="0" w:color="7BBDD6" w:themeColor="accent5"/>
          <w:bottom w:val="single" w:sz="4" w:space="0" w:color="7BBDD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BBDD6" w:themeColor="accent5"/>
          <w:left w:val="nil"/>
        </w:tcBorders>
      </w:tcPr>
    </w:tblStylePr>
    <w:tblStylePr w:type="swCell">
      <w:tblPr/>
      <w:tcPr>
        <w:tcBorders>
          <w:top w:val="double" w:sz="4" w:space="0" w:color="7BBDD6" w:themeColor="accent5"/>
          <w:right w:val="nil"/>
        </w:tcBorders>
      </w:tcPr>
    </w:tblStylePr>
  </w:style>
  <w:style w:type="table" w:styleId="ListTable3-Accent6">
    <w:name w:val="List Table 3 Accent 6"/>
    <w:basedOn w:val="TableNormal"/>
    <w:uiPriority w:val="48"/>
    <w:rsid w:val="009637A8"/>
    <w:pPr>
      <w:spacing w:after="0" w:line="240" w:lineRule="auto"/>
    </w:pPr>
    <w:tblPr>
      <w:tblStyleRowBandSize w:val="1"/>
      <w:tblStyleColBandSize w:val="1"/>
      <w:tblBorders>
        <w:top w:val="single" w:sz="4" w:space="0" w:color="428D52" w:themeColor="accent6"/>
        <w:left w:val="single" w:sz="4" w:space="0" w:color="428D52" w:themeColor="accent6"/>
        <w:bottom w:val="single" w:sz="4" w:space="0" w:color="428D52" w:themeColor="accent6"/>
        <w:right w:val="single" w:sz="4" w:space="0" w:color="428D52" w:themeColor="accent6"/>
      </w:tblBorders>
    </w:tblPr>
    <w:tblStylePr w:type="firstRow">
      <w:rPr>
        <w:b/>
        <w:bCs/>
        <w:color w:val="FFFFFF" w:themeColor="background1"/>
      </w:rPr>
      <w:tblPr/>
      <w:tcPr>
        <w:shd w:val="clear" w:color="auto" w:fill="428D52" w:themeFill="accent6"/>
      </w:tcPr>
    </w:tblStylePr>
    <w:tblStylePr w:type="lastRow">
      <w:rPr>
        <w:b/>
        <w:bCs/>
      </w:rPr>
      <w:tblPr/>
      <w:tcPr>
        <w:tcBorders>
          <w:top w:val="double" w:sz="4" w:space="0" w:color="428D5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28D52" w:themeColor="accent6"/>
          <w:right w:val="single" w:sz="4" w:space="0" w:color="428D52" w:themeColor="accent6"/>
        </w:tcBorders>
      </w:tcPr>
    </w:tblStylePr>
    <w:tblStylePr w:type="band1Horz">
      <w:tblPr/>
      <w:tcPr>
        <w:tcBorders>
          <w:top w:val="single" w:sz="4" w:space="0" w:color="428D52" w:themeColor="accent6"/>
          <w:bottom w:val="single" w:sz="4" w:space="0" w:color="428D5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28D52" w:themeColor="accent6"/>
          <w:left w:val="nil"/>
        </w:tcBorders>
      </w:tcPr>
    </w:tblStylePr>
    <w:tblStylePr w:type="swCell">
      <w:tblPr/>
      <w:tcPr>
        <w:tcBorders>
          <w:top w:val="double" w:sz="4" w:space="0" w:color="428D52" w:themeColor="accent6"/>
          <w:right w:val="nil"/>
        </w:tcBorders>
      </w:tcPr>
    </w:tblStylePr>
  </w:style>
  <w:style w:type="table" w:styleId="ListTable4">
    <w:name w:val="List Table 4"/>
    <w:basedOn w:val="TableNormal"/>
    <w:uiPriority w:val="49"/>
    <w:rsid w:val="009637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637A8"/>
    <w:pPr>
      <w:spacing w:after="0" w:line="240" w:lineRule="auto"/>
    </w:p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tblBorders>
    </w:tblPr>
    <w:tblStylePr w:type="firstRow">
      <w:rPr>
        <w:b/>
        <w:bCs/>
        <w:color w:val="FFFFFF" w:themeColor="background1"/>
      </w:rPr>
      <w:tblPr/>
      <w:tcPr>
        <w:tcBorders>
          <w:top w:val="single" w:sz="4" w:space="0" w:color="9D85BE" w:themeColor="accent1"/>
          <w:left w:val="single" w:sz="4" w:space="0" w:color="9D85BE" w:themeColor="accent1"/>
          <w:bottom w:val="single" w:sz="4" w:space="0" w:color="9D85BE" w:themeColor="accent1"/>
          <w:right w:val="single" w:sz="4" w:space="0" w:color="9D85BE" w:themeColor="accent1"/>
          <w:insideH w:val="nil"/>
        </w:tcBorders>
        <w:shd w:val="clear" w:color="auto" w:fill="9D85BE" w:themeFill="accent1"/>
      </w:tcPr>
    </w:tblStylePr>
    <w:tblStylePr w:type="lastRow">
      <w:rPr>
        <w:b/>
        <w:bCs/>
      </w:rPr>
      <w:tblPr/>
      <w:tcPr>
        <w:tcBorders>
          <w:top w:val="double" w:sz="4" w:space="0" w:color="C4B5D8" w:themeColor="accent1" w:themeTint="99"/>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ListTable4-Accent2">
    <w:name w:val="List Table 4 Accent 2"/>
    <w:basedOn w:val="TableNormal"/>
    <w:uiPriority w:val="49"/>
    <w:rsid w:val="009637A8"/>
    <w:pPr>
      <w:spacing w:after="0" w:line="240" w:lineRule="auto"/>
    </w:p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tblBorders>
    </w:tblPr>
    <w:tblStylePr w:type="firstRow">
      <w:rPr>
        <w:b/>
        <w:bCs/>
        <w:color w:val="FFFFFF" w:themeColor="background1"/>
      </w:rPr>
      <w:tblPr/>
      <w:tcPr>
        <w:tcBorders>
          <w:top w:val="single" w:sz="4" w:space="0" w:color="7D7D7D" w:themeColor="accent2"/>
          <w:left w:val="single" w:sz="4" w:space="0" w:color="7D7D7D" w:themeColor="accent2"/>
          <w:bottom w:val="single" w:sz="4" w:space="0" w:color="7D7D7D" w:themeColor="accent2"/>
          <w:right w:val="single" w:sz="4" w:space="0" w:color="7D7D7D" w:themeColor="accent2"/>
          <w:insideH w:val="nil"/>
        </w:tcBorders>
        <w:shd w:val="clear" w:color="auto" w:fill="7D7D7D" w:themeFill="accent2"/>
      </w:tcPr>
    </w:tblStylePr>
    <w:tblStylePr w:type="lastRow">
      <w:rPr>
        <w:b/>
        <w:bCs/>
      </w:rPr>
      <w:tblPr/>
      <w:tcPr>
        <w:tcBorders>
          <w:top w:val="double" w:sz="4" w:space="0" w:color="B1B1B1" w:themeColor="accent2" w:themeTint="99"/>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ListTable4-Accent3">
    <w:name w:val="List Table 4 Accent 3"/>
    <w:basedOn w:val="TableNormal"/>
    <w:uiPriority w:val="49"/>
    <w:rsid w:val="009637A8"/>
    <w:pPr>
      <w:spacing w:after="0" w:line="240" w:lineRule="auto"/>
    </w:p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tblBorders>
    </w:tblPr>
    <w:tblStylePr w:type="firstRow">
      <w:rPr>
        <w:b/>
        <w:bCs/>
        <w:color w:val="FFFFFF" w:themeColor="background1"/>
      </w:rPr>
      <w:tblPr/>
      <w:tcPr>
        <w:tcBorders>
          <w:top w:val="single" w:sz="4" w:space="0" w:color="C8C8C8" w:themeColor="accent3"/>
          <w:left w:val="single" w:sz="4" w:space="0" w:color="C8C8C8" w:themeColor="accent3"/>
          <w:bottom w:val="single" w:sz="4" w:space="0" w:color="C8C8C8" w:themeColor="accent3"/>
          <w:right w:val="single" w:sz="4" w:space="0" w:color="C8C8C8" w:themeColor="accent3"/>
          <w:insideH w:val="nil"/>
        </w:tcBorders>
        <w:shd w:val="clear" w:color="auto" w:fill="C8C8C8" w:themeFill="accent3"/>
      </w:tcPr>
    </w:tblStylePr>
    <w:tblStylePr w:type="lastRow">
      <w:rPr>
        <w:b/>
        <w:bCs/>
      </w:rPr>
      <w:tblPr/>
      <w:tcPr>
        <w:tcBorders>
          <w:top w:val="double" w:sz="4" w:space="0" w:color="DEDEDE" w:themeColor="accent3" w:themeTint="99"/>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ListTable4-Accent4">
    <w:name w:val="List Table 4 Accent 4"/>
    <w:basedOn w:val="TableNormal"/>
    <w:uiPriority w:val="49"/>
    <w:rsid w:val="009637A8"/>
    <w:pPr>
      <w:spacing w:after="0" w:line="240" w:lineRule="auto"/>
    </w:p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tblBorders>
    </w:tblPr>
    <w:tblStylePr w:type="firstRow">
      <w:rPr>
        <w:b/>
        <w:bCs/>
        <w:color w:val="FFFFFF" w:themeColor="background1"/>
      </w:rPr>
      <w:tblPr/>
      <w:tcPr>
        <w:tcBorders>
          <w:top w:val="single" w:sz="4" w:space="0" w:color="006A9F" w:themeColor="accent4"/>
          <w:left w:val="single" w:sz="4" w:space="0" w:color="006A9F" w:themeColor="accent4"/>
          <w:bottom w:val="single" w:sz="4" w:space="0" w:color="006A9F" w:themeColor="accent4"/>
          <w:right w:val="single" w:sz="4" w:space="0" w:color="006A9F" w:themeColor="accent4"/>
          <w:insideH w:val="nil"/>
        </w:tcBorders>
        <w:shd w:val="clear" w:color="auto" w:fill="006A9F" w:themeFill="accent4"/>
      </w:tcPr>
    </w:tblStylePr>
    <w:tblStylePr w:type="lastRow">
      <w:rPr>
        <w:b/>
        <w:bCs/>
      </w:rPr>
      <w:tblPr/>
      <w:tcPr>
        <w:tcBorders>
          <w:top w:val="double" w:sz="4" w:space="0" w:color="2CB8FF" w:themeColor="accent4" w:themeTint="99"/>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ListTable4-Accent5">
    <w:name w:val="List Table 4 Accent 5"/>
    <w:basedOn w:val="TableNormal"/>
    <w:uiPriority w:val="49"/>
    <w:rsid w:val="009637A8"/>
    <w:pPr>
      <w:spacing w:after="0" w:line="240" w:lineRule="auto"/>
    </w:p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tblBorders>
    </w:tblPr>
    <w:tblStylePr w:type="firstRow">
      <w:rPr>
        <w:b/>
        <w:bCs/>
        <w:color w:val="FFFFFF" w:themeColor="background1"/>
      </w:rPr>
      <w:tblPr/>
      <w:tcPr>
        <w:tcBorders>
          <w:top w:val="single" w:sz="4" w:space="0" w:color="7BBDD6" w:themeColor="accent5"/>
          <w:left w:val="single" w:sz="4" w:space="0" w:color="7BBDD6" w:themeColor="accent5"/>
          <w:bottom w:val="single" w:sz="4" w:space="0" w:color="7BBDD6" w:themeColor="accent5"/>
          <w:right w:val="single" w:sz="4" w:space="0" w:color="7BBDD6" w:themeColor="accent5"/>
          <w:insideH w:val="nil"/>
        </w:tcBorders>
        <w:shd w:val="clear" w:color="auto" w:fill="7BBDD6" w:themeFill="accent5"/>
      </w:tcPr>
    </w:tblStylePr>
    <w:tblStylePr w:type="lastRow">
      <w:rPr>
        <w:b/>
        <w:bCs/>
      </w:rPr>
      <w:tblPr/>
      <w:tcPr>
        <w:tcBorders>
          <w:top w:val="double" w:sz="4" w:space="0" w:color="AFD7E6" w:themeColor="accent5" w:themeTint="99"/>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ListTable4-Accent6">
    <w:name w:val="List Table 4 Accent 6"/>
    <w:basedOn w:val="TableNormal"/>
    <w:uiPriority w:val="49"/>
    <w:rsid w:val="009637A8"/>
    <w:pPr>
      <w:spacing w:after="0" w:line="240" w:lineRule="auto"/>
    </w:p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tblBorders>
    </w:tblPr>
    <w:tblStylePr w:type="firstRow">
      <w:rPr>
        <w:b/>
        <w:bCs/>
        <w:color w:val="FFFFFF" w:themeColor="background1"/>
      </w:rPr>
      <w:tblPr/>
      <w:tcPr>
        <w:tcBorders>
          <w:top w:val="single" w:sz="4" w:space="0" w:color="428D52" w:themeColor="accent6"/>
          <w:left w:val="single" w:sz="4" w:space="0" w:color="428D52" w:themeColor="accent6"/>
          <w:bottom w:val="single" w:sz="4" w:space="0" w:color="428D52" w:themeColor="accent6"/>
          <w:right w:val="single" w:sz="4" w:space="0" w:color="428D52" w:themeColor="accent6"/>
          <w:insideH w:val="nil"/>
        </w:tcBorders>
        <w:shd w:val="clear" w:color="auto" w:fill="428D52" w:themeFill="accent6"/>
      </w:tcPr>
    </w:tblStylePr>
    <w:tblStylePr w:type="lastRow">
      <w:rPr>
        <w:b/>
        <w:bCs/>
      </w:rPr>
      <w:tblPr/>
      <w:tcPr>
        <w:tcBorders>
          <w:top w:val="double" w:sz="4" w:space="0" w:color="83C590" w:themeColor="accent6" w:themeTint="99"/>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ListTable5Dark">
    <w:name w:val="List Table 5 Dark"/>
    <w:basedOn w:val="TableNormal"/>
    <w:uiPriority w:val="50"/>
    <w:rsid w:val="009637A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637A8"/>
    <w:pPr>
      <w:spacing w:after="0" w:line="240" w:lineRule="auto"/>
    </w:pPr>
    <w:rPr>
      <w:color w:val="FFFFFF" w:themeColor="background1"/>
    </w:rPr>
    <w:tblPr>
      <w:tblStyleRowBandSize w:val="1"/>
      <w:tblStyleColBandSize w:val="1"/>
      <w:tblBorders>
        <w:top w:val="single" w:sz="24" w:space="0" w:color="9D85BE" w:themeColor="accent1"/>
        <w:left w:val="single" w:sz="24" w:space="0" w:color="9D85BE" w:themeColor="accent1"/>
        <w:bottom w:val="single" w:sz="24" w:space="0" w:color="9D85BE" w:themeColor="accent1"/>
        <w:right w:val="single" w:sz="24" w:space="0" w:color="9D85BE" w:themeColor="accent1"/>
      </w:tblBorders>
    </w:tblPr>
    <w:tcPr>
      <w:shd w:val="clear" w:color="auto" w:fill="9D85B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637A8"/>
    <w:pPr>
      <w:spacing w:after="0" w:line="240" w:lineRule="auto"/>
    </w:pPr>
    <w:rPr>
      <w:color w:val="FFFFFF" w:themeColor="background1"/>
    </w:rPr>
    <w:tblPr>
      <w:tblStyleRowBandSize w:val="1"/>
      <w:tblStyleColBandSize w:val="1"/>
      <w:tblBorders>
        <w:top w:val="single" w:sz="24" w:space="0" w:color="7D7D7D" w:themeColor="accent2"/>
        <w:left w:val="single" w:sz="24" w:space="0" w:color="7D7D7D" w:themeColor="accent2"/>
        <w:bottom w:val="single" w:sz="24" w:space="0" w:color="7D7D7D" w:themeColor="accent2"/>
        <w:right w:val="single" w:sz="24" w:space="0" w:color="7D7D7D" w:themeColor="accent2"/>
      </w:tblBorders>
    </w:tblPr>
    <w:tcPr>
      <w:shd w:val="clear" w:color="auto" w:fill="7D7D7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637A8"/>
    <w:pPr>
      <w:spacing w:after="0" w:line="240" w:lineRule="auto"/>
    </w:pPr>
    <w:rPr>
      <w:color w:val="FFFFFF" w:themeColor="background1"/>
    </w:rPr>
    <w:tblPr>
      <w:tblStyleRowBandSize w:val="1"/>
      <w:tblStyleColBandSize w:val="1"/>
      <w:tblBorders>
        <w:top w:val="single" w:sz="24" w:space="0" w:color="C8C8C8" w:themeColor="accent3"/>
        <w:left w:val="single" w:sz="24" w:space="0" w:color="C8C8C8" w:themeColor="accent3"/>
        <w:bottom w:val="single" w:sz="24" w:space="0" w:color="C8C8C8" w:themeColor="accent3"/>
        <w:right w:val="single" w:sz="24" w:space="0" w:color="C8C8C8" w:themeColor="accent3"/>
      </w:tblBorders>
    </w:tblPr>
    <w:tcPr>
      <w:shd w:val="clear" w:color="auto" w:fill="C8C8C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637A8"/>
    <w:pPr>
      <w:spacing w:after="0" w:line="240" w:lineRule="auto"/>
    </w:pPr>
    <w:rPr>
      <w:color w:val="FFFFFF" w:themeColor="background1"/>
    </w:rPr>
    <w:tblPr>
      <w:tblStyleRowBandSize w:val="1"/>
      <w:tblStyleColBandSize w:val="1"/>
      <w:tblBorders>
        <w:top w:val="single" w:sz="24" w:space="0" w:color="006A9F" w:themeColor="accent4"/>
        <w:left w:val="single" w:sz="24" w:space="0" w:color="006A9F" w:themeColor="accent4"/>
        <w:bottom w:val="single" w:sz="24" w:space="0" w:color="006A9F" w:themeColor="accent4"/>
        <w:right w:val="single" w:sz="24" w:space="0" w:color="006A9F" w:themeColor="accent4"/>
      </w:tblBorders>
    </w:tblPr>
    <w:tcPr>
      <w:shd w:val="clear" w:color="auto" w:fill="006A9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637A8"/>
    <w:pPr>
      <w:spacing w:after="0" w:line="240" w:lineRule="auto"/>
    </w:pPr>
    <w:rPr>
      <w:color w:val="FFFFFF" w:themeColor="background1"/>
    </w:rPr>
    <w:tblPr>
      <w:tblStyleRowBandSize w:val="1"/>
      <w:tblStyleColBandSize w:val="1"/>
      <w:tblBorders>
        <w:top w:val="single" w:sz="24" w:space="0" w:color="7BBDD6" w:themeColor="accent5"/>
        <w:left w:val="single" w:sz="24" w:space="0" w:color="7BBDD6" w:themeColor="accent5"/>
        <w:bottom w:val="single" w:sz="24" w:space="0" w:color="7BBDD6" w:themeColor="accent5"/>
        <w:right w:val="single" w:sz="24" w:space="0" w:color="7BBDD6" w:themeColor="accent5"/>
      </w:tblBorders>
    </w:tblPr>
    <w:tcPr>
      <w:shd w:val="clear" w:color="auto" w:fill="7BBDD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637A8"/>
    <w:pPr>
      <w:spacing w:after="0" w:line="240" w:lineRule="auto"/>
    </w:pPr>
    <w:rPr>
      <w:color w:val="FFFFFF" w:themeColor="background1"/>
    </w:rPr>
    <w:tblPr>
      <w:tblStyleRowBandSize w:val="1"/>
      <w:tblStyleColBandSize w:val="1"/>
      <w:tblBorders>
        <w:top w:val="single" w:sz="24" w:space="0" w:color="428D52" w:themeColor="accent6"/>
        <w:left w:val="single" w:sz="24" w:space="0" w:color="428D52" w:themeColor="accent6"/>
        <w:bottom w:val="single" w:sz="24" w:space="0" w:color="428D52" w:themeColor="accent6"/>
        <w:right w:val="single" w:sz="24" w:space="0" w:color="428D52" w:themeColor="accent6"/>
      </w:tblBorders>
    </w:tblPr>
    <w:tcPr>
      <w:shd w:val="clear" w:color="auto" w:fill="428D5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urful">
    <w:name w:val="List Table 6 Colorful"/>
    <w:basedOn w:val="TableNormal"/>
    <w:uiPriority w:val="51"/>
    <w:rsid w:val="009637A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urfulAccent1">
    <w:name w:val="List Table 6 Colorful Accent 1"/>
    <w:basedOn w:val="TableNormal"/>
    <w:uiPriority w:val="51"/>
    <w:rsid w:val="009637A8"/>
    <w:pPr>
      <w:spacing w:after="0" w:line="240" w:lineRule="auto"/>
    </w:pPr>
    <w:rPr>
      <w:color w:val="72549D" w:themeColor="accent1" w:themeShade="BF"/>
    </w:rPr>
    <w:tblPr>
      <w:tblStyleRowBandSize w:val="1"/>
      <w:tblStyleColBandSize w:val="1"/>
      <w:tblBorders>
        <w:top w:val="single" w:sz="4" w:space="0" w:color="9D85BE" w:themeColor="accent1"/>
        <w:bottom w:val="single" w:sz="4" w:space="0" w:color="9D85BE" w:themeColor="accent1"/>
      </w:tblBorders>
    </w:tblPr>
    <w:tblStylePr w:type="firstRow">
      <w:rPr>
        <w:b/>
        <w:bCs/>
      </w:rPr>
      <w:tblPr/>
      <w:tcPr>
        <w:tcBorders>
          <w:bottom w:val="single" w:sz="4" w:space="0" w:color="9D85BE" w:themeColor="accent1"/>
        </w:tcBorders>
      </w:tcPr>
    </w:tblStylePr>
    <w:tblStylePr w:type="lastRow">
      <w:rPr>
        <w:b/>
        <w:bCs/>
      </w:rPr>
      <w:tblPr/>
      <w:tcPr>
        <w:tcBorders>
          <w:top w:val="double" w:sz="4" w:space="0" w:color="9D85BE" w:themeColor="accent1"/>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ListTable6ColourfulAccent2">
    <w:name w:val="List Table 6 Colorful Accent 2"/>
    <w:basedOn w:val="TableNormal"/>
    <w:uiPriority w:val="51"/>
    <w:rsid w:val="009637A8"/>
    <w:pPr>
      <w:spacing w:after="0" w:line="240" w:lineRule="auto"/>
    </w:pPr>
    <w:rPr>
      <w:color w:val="5D5D5D" w:themeColor="accent2" w:themeShade="BF"/>
    </w:rPr>
    <w:tblPr>
      <w:tblStyleRowBandSize w:val="1"/>
      <w:tblStyleColBandSize w:val="1"/>
      <w:tblBorders>
        <w:top w:val="single" w:sz="4" w:space="0" w:color="7D7D7D" w:themeColor="accent2"/>
        <w:bottom w:val="single" w:sz="4" w:space="0" w:color="7D7D7D" w:themeColor="accent2"/>
      </w:tblBorders>
    </w:tblPr>
    <w:tblStylePr w:type="firstRow">
      <w:rPr>
        <w:b/>
        <w:bCs/>
      </w:rPr>
      <w:tblPr/>
      <w:tcPr>
        <w:tcBorders>
          <w:bottom w:val="single" w:sz="4" w:space="0" w:color="7D7D7D" w:themeColor="accent2"/>
        </w:tcBorders>
      </w:tcPr>
    </w:tblStylePr>
    <w:tblStylePr w:type="lastRow">
      <w:rPr>
        <w:b/>
        <w:bCs/>
      </w:rPr>
      <w:tblPr/>
      <w:tcPr>
        <w:tcBorders>
          <w:top w:val="double" w:sz="4" w:space="0" w:color="7D7D7D" w:themeColor="accent2"/>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ListTable6ColourfulAccent3">
    <w:name w:val="List Table 6 Colorful Accent 3"/>
    <w:basedOn w:val="TableNormal"/>
    <w:uiPriority w:val="51"/>
    <w:rsid w:val="009637A8"/>
    <w:pPr>
      <w:spacing w:after="0" w:line="240" w:lineRule="auto"/>
    </w:pPr>
    <w:rPr>
      <w:color w:val="959595" w:themeColor="accent3" w:themeShade="BF"/>
    </w:rPr>
    <w:tblPr>
      <w:tblStyleRowBandSize w:val="1"/>
      <w:tblStyleColBandSize w:val="1"/>
      <w:tblBorders>
        <w:top w:val="single" w:sz="4" w:space="0" w:color="C8C8C8" w:themeColor="accent3"/>
        <w:bottom w:val="single" w:sz="4" w:space="0" w:color="C8C8C8" w:themeColor="accent3"/>
      </w:tblBorders>
    </w:tblPr>
    <w:tblStylePr w:type="firstRow">
      <w:rPr>
        <w:b/>
        <w:bCs/>
      </w:rPr>
      <w:tblPr/>
      <w:tcPr>
        <w:tcBorders>
          <w:bottom w:val="single" w:sz="4" w:space="0" w:color="C8C8C8" w:themeColor="accent3"/>
        </w:tcBorders>
      </w:tcPr>
    </w:tblStylePr>
    <w:tblStylePr w:type="lastRow">
      <w:rPr>
        <w:b/>
        <w:bCs/>
      </w:rPr>
      <w:tblPr/>
      <w:tcPr>
        <w:tcBorders>
          <w:top w:val="double" w:sz="4" w:space="0" w:color="C8C8C8" w:themeColor="accent3"/>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ListTable6ColourfulAccent4">
    <w:name w:val="List Table 6 Colorful Accent 4"/>
    <w:basedOn w:val="TableNormal"/>
    <w:uiPriority w:val="51"/>
    <w:rsid w:val="009637A8"/>
    <w:pPr>
      <w:spacing w:after="0" w:line="240" w:lineRule="auto"/>
    </w:pPr>
    <w:rPr>
      <w:color w:val="004F77" w:themeColor="accent4" w:themeShade="BF"/>
    </w:rPr>
    <w:tblPr>
      <w:tblStyleRowBandSize w:val="1"/>
      <w:tblStyleColBandSize w:val="1"/>
      <w:tblBorders>
        <w:top w:val="single" w:sz="4" w:space="0" w:color="006A9F" w:themeColor="accent4"/>
        <w:bottom w:val="single" w:sz="4" w:space="0" w:color="006A9F" w:themeColor="accent4"/>
      </w:tblBorders>
    </w:tblPr>
    <w:tblStylePr w:type="firstRow">
      <w:rPr>
        <w:b/>
        <w:bCs/>
      </w:rPr>
      <w:tblPr/>
      <w:tcPr>
        <w:tcBorders>
          <w:bottom w:val="single" w:sz="4" w:space="0" w:color="006A9F" w:themeColor="accent4"/>
        </w:tcBorders>
      </w:tcPr>
    </w:tblStylePr>
    <w:tblStylePr w:type="lastRow">
      <w:rPr>
        <w:b/>
        <w:bCs/>
      </w:rPr>
      <w:tblPr/>
      <w:tcPr>
        <w:tcBorders>
          <w:top w:val="double" w:sz="4" w:space="0" w:color="006A9F" w:themeColor="accent4"/>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ListTable6ColourfulAccent5">
    <w:name w:val="List Table 6 Colorful Accent 5"/>
    <w:basedOn w:val="TableNormal"/>
    <w:uiPriority w:val="51"/>
    <w:rsid w:val="009637A8"/>
    <w:pPr>
      <w:spacing w:after="0" w:line="240" w:lineRule="auto"/>
    </w:pPr>
    <w:rPr>
      <w:color w:val="3C9BC0" w:themeColor="accent5" w:themeShade="BF"/>
    </w:rPr>
    <w:tblPr>
      <w:tblStyleRowBandSize w:val="1"/>
      <w:tblStyleColBandSize w:val="1"/>
      <w:tblBorders>
        <w:top w:val="single" w:sz="4" w:space="0" w:color="7BBDD6" w:themeColor="accent5"/>
        <w:bottom w:val="single" w:sz="4" w:space="0" w:color="7BBDD6" w:themeColor="accent5"/>
      </w:tblBorders>
    </w:tblPr>
    <w:tblStylePr w:type="firstRow">
      <w:rPr>
        <w:b/>
        <w:bCs/>
      </w:rPr>
      <w:tblPr/>
      <w:tcPr>
        <w:tcBorders>
          <w:bottom w:val="single" w:sz="4" w:space="0" w:color="7BBDD6" w:themeColor="accent5"/>
        </w:tcBorders>
      </w:tcPr>
    </w:tblStylePr>
    <w:tblStylePr w:type="lastRow">
      <w:rPr>
        <w:b/>
        <w:bCs/>
      </w:rPr>
      <w:tblPr/>
      <w:tcPr>
        <w:tcBorders>
          <w:top w:val="double" w:sz="4" w:space="0" w:color="7BBDD6" w:themeColor="accent5"/>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ListTable6ColourfulAccent6">
    <w:name w:val="List Table 6 Colorful Accent 6"/>
    <w:basedOn w:val="TableNormal"/>
    <w:uiPriority w:val="51"/>
    <w:rsid w:val="009637A8"/>
    <w:pPr>
      <w:spacing w:after="0" w:line="240" w:lineRule="auto"/>
    </w:pPr>
    <w:rPr>
      <w:color w:val="31693D" w:themeColor="accent6" w:themeShade="BF"/>
    </w:rPr>
    <w:tblPr>
      <w:tblStyleRowBandSize w:val="1"/>
      <w:tblStyleColBandSize w:val="1"/>
      <w:tblBorders>
        <w:top w:val="single" w:sz="4" w:space="0" w:color="428D52" w:themeColor="accent6"/>
        <w:bottom w:val="single" w:sz="4" w:space="0" w:color="428D52" w:themeColor="accent6"/>
      </w:tblBorders>
    </w:tblPr>
    <w:tblStylePr w:type="firstRow">
      <w:rPr>
        <w:b/>
        <w:bCs/>
      </w:rPr>
      <w:tblPr/>
      <w:tcPr>
        <w:tcBorders>
          <w:bottom w:val="single" w:sz="4" w:space="0" w:color="428D52" w:themeColor="accent6"/>
        </w:tcBorders>
      </w:tcPr>
    </w:tblStylePr>
    <w:tblStylePr w:type="lastRow">
      <w:rPr>
        <w:b/>
        <w:bCs/>
      </w:rPr>
      <w:tblPr/>
      <w:tcPr>
        <w:tcBorders>
          <w:top w:val="double" w:sz="4" w:space="0" w:color="428D52" w:themeColor="accent6"/>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ListTable7Colourful">
    <w:name w:val="List Table 7 Colorful"/>
    <w:basedOn w:val="TableNormal"/>
    <w:uiPriority w:val="52"/>
    <w:rsid w:val="009637A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rsid w:val="009637A8"/>
    <w:pPr>
      <w:spacing w:after="0" w:line="240" w:lineRule="auto"/>
    </w:pPr>
    <w:rPr>
      <w:color w:val="72549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D85B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D85B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D85B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D85BE" w:themeColor="accent1"/>
        </w:tcBorders>
        <w:shd w:val="clear" w:color="auto" w:fill="FFFFFF" w:themeFill="background1"/>
      </w:tcPr>
    </w:tblStylePr>
    <w:tblStylePr w:type="band1Vert">
      <w:tblPr/>
      <w:tcPr>
        <w:shd w:val="clear" w:color="auto" w:fill="EBE6F2" w:themeFill="accent1" w:themeFillTint="33"/>
      </w:tcPr>
    </w:tblStylePr>
    <w:tblStylePr w:type="band1Horz">
      <w:tblPr/>
      <w:tcPr>
        <w:shd w:val="clear" w:color="auto" w:fill="EBE6F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52"/>
    <w:rsid w:val="009637A8"/>
    <w:pPr>
      <w:spacing w:after="0" w:line="240" w:lineRule="auto"/>
    </w:pPr>
    <w:rPr>
      <w:color w:val="5D5D5D"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D7D7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D7D7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D7D7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D7D7D" w:themeColor="accent2"/>
        </w:tcBorders>
        <w:shd w:val="clear" w:color="auto" w:fill="FFFFFF" w:themeFill="background1"/>
      </w:tcPr>
    </w:tblStylePr>
    <w:tblStylePr w:type="band1Vert">
      <w:tblPr/>
      <w:tcPr>
        <w:shd w:val="clear" w:color="auto" w:fill="E5E5E5" w:themeFill="accent2" w:themeFillTint="33"/>
      </w:tcPr>
    </w:tblStylePr>
    <w:tblStylePr w:type="band1Horz">
      <w:tblPr/>
      <w:tcPr>
        <w:shd w:val="clear" w:color="auto" w:fill="E5E5E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52"/>
    <w:rsid w:val="009637A8"/>
    <w:pPr>
      <w:spacing w:after="0" w:line="240" w:lineRule="auto"/>
    </w:pPr>
    <w:rPr>
      <w:color w:val="959595"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8C8C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8C8C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8C8C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8C8C8" w:themeColor="accent3"/>
        </w:tcBorders>
        <w:shd w:val="clear" w:color="auto" w:fill="FFFFFF" w:themeFill="background1"/>
      </w:tcPr>
    </w:tblStylePr>
    <w:tblStylePr w:type="band1Vert">
      <w:tblPr/>
      <w:tcPr>
        <w:shd w:val="clear" w:color="auto" w:fill="F4F4F4" w:themeFill="accent3" w:themeFillTint="33"/>
      </w:tcPr>
    </w:tblStylePr>
    <w:tblStylePr w:type="band1Horz">
      <w:tblPr/>
      <w:tcPr>
        <w:shd w:val="clear" w:color="auto" w:fill="F4F4F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4">
    <w:name w:val="List Table 7 Colorful Accent 4"/>
    <w:basedOn w:val="TableNormal"/>
    <w:uiPriority w:val="52"/>
    <w:rsid w:val="009637A8"/>
    <w:pPr>
      <w:spacing w:after="0" w:line="240" w:lineRule="auto"/>
    </w:pPr>
    <w:rPr>
      <w:color w:val="004F77"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6A9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6A9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6A9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6A9F" w:themeColor="accent4"/>
        </w:tcBorders>
        <w:shd w:val="clear" w:color="auto" w:fill="FFFFFF" w:themeFill="background1"/>
      </w:tcPr>
    </w:tblStylePr>
    <w:tblStylePr w:type="band1Vert">
      <w:tblPr/>
      <w:tcPr>
        <w:shd w:val="clear" w:color="auto" w:fill="B8E7FF" w:themeFill="accent4" w:themeFillTint="33"/>
      </w:tcPr>
    </w:tblStylePr>
    <w:tblStylePr w:type="band1Horz">
      <w:tblPr/>
      <w:tcPr>
        <w:shd w:val="clear" w:color="auto" w:fill="B8E7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52"/>
    <w:rsid w:val="009637A8"/>
    <w:pPr>
      <w:spacing w:after="0" w:line="240" w:lineRule="auto"/>
    </w:pPr>
    <w:rPr>
      <w:color w:val="3C9BC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BBDD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BBDD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BBDD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BBDD6" w:themeColor="accent5"/>
        </w:tcBorders>
        <w:shd w:val="clear" w:color="auto" w:fill="FFFFFF" w:themeFill="background1"/>
      </w:tcPr>
    </w:tblStylePr>
    <w:tblStylePr w:type="band1Vert">
      <w:tblPr/>
      <w:tcPr>
        <w:shd w:val="clear" w:color="auto" w:fill="E4F1F6" w:themeFill="accent5" w:themeFillTint="33"/>
      </w:tcPr>
    </w:tblStylePr>
    <w:tblStylePr w:type="band1Horz">
      <w:tblPr/>
      <w:tcPr>
        <w:shd w:val="clear" w:color="auto" w:fill="E4F1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6">
    <w:name w:val="List Table 7 Colorful Accent 6"/>
    <w:basedOn w:val="TableNormal"/>
    <w:uiPriority w:val="52"/>
    <w:rsid w:val="009637A8"/>
    <w:pPr>
      <w:spacing w:after="0" w:line="240" w:lineRule="auto"/>
    </w:pPr>
    <w:rPr>
      <w:color w:val="31693D"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8D5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8D5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8D5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8D52" w:themeColor="accent6"/>
        </w:tcBorders>
        <w:shd w:val="clear" w:color="auto" w:fill="FFFFFF" w:themeFill="background1"/>
      </w:tcPr>
    </w:tblStylePr>
    <w:tblStylePr w:type="band1Vert">
      <w:tblPr/>
      <w:tcPr>
        <w:shd w:val="clear" w:color="auto" w:fill="D5EBDA" w:themeFill="accent6" w:themeFillTint="33"/>
      </w:tcPr>
    </w:tblStylePr>
    <w:tblStylePr w:type="band1Horz">
      <w:tblPr/>
      <w:tcPr>
        <w:shd w:val="clear" w:color="auto" w:fill="D5EBD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637A8"/>
    <w:pPr>
      <w:tabs>
        <w:tab w:val="left" w:pos="480"/>
        <w:tab w:val="left" w:pos="960"/>
        <w:tab w:val="left" w:pos="1440"/>
        <w:tab w:val="left" w:pos="1920"/>
        <w:tab w:val="left" w:pos="2400"/>
        <w:tab w:val="left" w:pos="2880"/>
        <w:tab w:val="left" w:pos="3360"/>
        <w:tab w:val="left" w:pos="3840"/>
        <w:tab w:val="left" w:pos="4320"/>
      </w:tabs>
      <w:spacing w:after="0"/>
    </w:pPr>
    <w:rPr>
      <w:rFonts w:ascii="Arial Narrow" w:hAnsi="Arial Narrow" w:cs="Arial"/>
      <w:sz w:val="20"/>
      <w:szCs w:val="20"/>
    </w:rPr>
  </w:style>
  <w:style w:type="character" w:customStyle="1" w:styleId="MacroTextChar">
    <w:name w:val="Macro Text Char"/>
    <w:basedOn w:val="DefaultParagraphFont"/>
    <w:link w:val="MacroText"/>
    <w:uiPriority w:val="99"/>
    <w:semiHidden/>
    <w:rsid w:val="009637A8"/>
    <w:rPr>
      <w:rFonts w:ascii="Arial Narrow" w:hAnsi="Arial Narrow" w:cs="Arial"/>
      <w:sz w:val="20"/>
      <w:szCs w:val="20"/>
    </w:rPr>
  </w:style>
  <w:style w:type="table" w:styleId="MediumGrid1">
    <w:name w:val="Medium Grid 1"/>
    <w:basedOn w:val="TableNormal"/>
    <w:uiPriority w:val="67"/>
    <w:semiHidden/>
    <w:unhideWhenUsed/>
    <w:rsid w:val="009637A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637A8"/>
    <w:pPr>
      <w:spacing w:after="0" w:line="240" w:lineRule="auto"/>
    </w:pPr>
    <w:tblPr>
      <w:tblStyleRowBandSize w:val="1"/>
      <w:tblStyleColBandSize w:val="1"/>
      <w:tblBorders>
        <w:top w:val="single" w:sz="8" w:space="0" w:color="B5A3CE" w:themeColor="accent1" w:themeTint="BF"/>
        <w:left w:val="single" w:sz="8" w:space="0" w:color="B5A3CE" w:themeColor="accent1" w:themeTint="BF"/>
        <w:bottom w:val="single" w:sz="8" w:space="0" w:color="B5A3CE" w:themeColor="accent1" w:themeTint="BF"/>
        <w:right w:val="single" w:sz="8" w:space="0" w:color="B5A3CE" w:themeColor="accent1" w:themeTint="BF"/>
        <w:insideH w:val="single" w:sz="8" w:space="0" w:color="B5A3CE" w:themeColor="accent1" w:themeTint="BF"/>
        <w:insideV w:val="single" w:sz="8" w:space="0" w:color="B5A3CE" w:themeColor="accent1" w:themeTint="BF"/>
      </w:tblBorders>
    </w:tblPr>
    <w:tcPr>
      <w:shd w:val="clear" w:color="auto" w:fill="E6E0EF" w:themeFill="accent1" w:themeFillTint="3F"/>
    </w:tcPr>
    <w:tblStylePr w:type="firstRow">
      <w:rPr>
        <w:b/>
        <w:bCs/>
      </w:rPr>
    </w:tblStylePr>
    <w:tblStylePr w:type="lastRow">
      <w:rPr>
        <w:b/>
        <w:bCs/>
      </w:rPr>
      <w:tblPr/>
      <w:tcPr>
        <w:tcBorders>
          <w:top w:val="single" w:sz="18" w:space="0" w:color="B5A3CE" w:themeColor="accent1" w:themeTint="BF"/>
        </w:tcBorders>
      </w:tcPr>
    </w:tblStylePr>
    <w:tblStylePr w:type="firstCol">
      <w:rPr>
        <w:b/>
        <w:bCs/>
      </w:rPr>
    </w:tblStylePr>
    <w:tblStylePr w:type="lastCol">
      <w:rPr>
        <w:b/>
        <w:bCs/>
      </w:rPr>
    </w:tblStylePr>
    <w:tblStylePr w:type="band1Vert">
      <w:tblPr/>
      <w:tcPr>
        <w:shd w:val="clear" w:color="auto" w:fill="CEC2DE" w:themeFill="accent1" w:themeFillTint="7F"/>
      </w:tcPr>
    </w:tblStylePr>
    <w:tblStylePr w:type="band1Horz">
      <w:tblPr/>
      <w:tcPr>
        <w:shd w:val="clear" w:color="auto" w:fill="CEC2DE" w:themeFill="accent1" w:themeFillTint="7F"/>
      </w:tcPr>
    </w:tblStylePr>
  </w:style>
  <w:style w:type="table" w:styleId="MediumGrid1-Accent2">
    <w:name w:val="Medium Grid 1 Accent 2"/>
    <w:basedOn w:val="TableNormal"/>
    <w:uiPriority w:val="67"/>
    <w:semiHidden/>
    <w:unhideWhenUsed/>
    <w:rsid w:val="009637A8"/>
    <w:pPr>
      <w:spacing w:after="0" w:line="240" w:lineRule="auto"/>
    </w:pPr>
    <w:tblPr>
      <w:tblStyleRowBandSize w:val="1"/>
      <w:tblStyleColBandSize w:val="1"/>
      <w:tblBorders>
        <w:top w:val="single" w:sz="8" w:space="0" w:color="9D9D9D" w:themeColor="accent2" w:themeTint="BF"/>
        <w:left w:val="single" w:sz="8" w:space="0" w:color="9D9D9D" w:themeColor="accent2" w:themeTint="BF"/>
        <w:bottom w:val="single" w:sz="8" w:space="0" w:color="9D9D9D" w:themeColor="accent2" w:themeTint="BF"/>
        <w:right w:val="single" w:sz="8" w:space="0" w:color="9D9D9D" w:themeColor="accent2" w:themeTint="BF"/>
        <w:insideH w:val="single" w:sz="8" w:space="0" w:color="9D9D9D" w:themeColor="accent2" w:themeTint="BF"/>
        <w:insideV w:val="single" w:sz="8" w:space="0" w:color="9D9D9D" w:themeColor="accent2" w:themeTint="BF"/>
      </w:tblBorders>
    </w:tblPr>
    <w:tcPr>
      <w:shd w:val="clear" w:color="auto" w:fill="DEDEDE" w:themeFill="accent2" w:themeFillTint="3F"/>
    </w:tcPr>
    <w:tblStylePr w:type="firstRow">
      <w:rPr>
        <w:b/>
        <w:bCs/>
      </w:rPr>
    </w:tblStylePr>
    <w:tblStylePr w:type="lastRow">
      <w:rPr>
        <w:b/>
        <w:bCs/>
      </w:rPr>
      <w:tblPr/>
      <w:tcPr>
        <w:tcBorders>
          <w:top w:val="single" w:sz="18" w:space="0" w:color="9D9D9D" w:themeColor="accent2" w:themeTint="BF"/>
        </w:tcBorders>
      </w:tcPr>
    </w:tblStylePr>
    <w:tblStylePr w:type="firstCol">
      <w:rPr>
        <w:b/>
        <w:bCs/>
      </w:rPr>
    </w:tblStylePr>
    <w:tblStylePr w:type="lastCol">
      <w:rPr>
        <w:b/>
        <w:bCs/>
      </w:rPr>
    </w:tblStylePr>
    <w:tblStylePr w:type="band1Vert">
      <w:tblPr/>
      <w:tcPr>
        <w:shd w:val="clear" w:color="auto" w:fill="BEBEBE" w:themeFill="accent2" w:themeFillTint="7F"/>
      </w:tcPr>
    </w:tblStylePr>
    <w:tblStylePr w:type="band1Horz">
      <w:tblPr/>
      <w:tcPr>
        <w:shd w:val="clear" w:color="auto" w:fill="BEBEBE" w:themeFill="accent2" w:themeFillTint="7F"/>
      </w:tcPr>
    </w:tblStylePr>
  </w:style>
  <w:style w:type="table" w:styleId="MediumGrid1-Accent3">
    <w:name w:val="Medium Grid 1 Accent 3"/>
    <w:basedOn w:val="TableNormal"/>
    <w:uiPriority w:val="67"/>
    <w:semiHidden/>
    <w:unhideWhenUsed/>
    <w:rsid w:val="009637A8"/>
    <w:pPr>
      <w:spacing w:after="0" w:line="240" w:lineRule="auto"/>
    </w:pPr>
    <w:tblPr>
      <w:tblStyleRowBandSize w:val="1"/>
      <w:tblStyleColBandSize w:val="1"/>
      <w:tblBorders>
        <w:top w:val="single" w:sz="8" w:space="0" w:color="D5D5D5" w:themeColor="accent3" w:themeTint="BF"/>
        <w:left w:val="single" w:sz="8" w:space="0" w:color="D5D5D5" w:themeColor="accent3" w:themeTint="BF"/>
        <w:bottom w:val="single" w:sz="8" w:space="0" w:color="D5D5D5" w:themeColor="accent3" w:themeTint="BF"/>
        <w:right w:val="single" w:sz="8" w:space="0" w:color="D5D5D5" w:themeColor="accent3" w:themeTint="BF"/>
        <w:insideH w:val="single" w:sz="8" w:space="0" w:color="D5D5D5" w:themeColor="accent3" w:themeTint="BF"/>
        <w:insideV w:val="single" w:sz="8" w:space="0" w:color="D5D5D5" w:themeColor="accent3" w:themeTint="BF"/>
      </w:tblBorders>
    </w:tblPr>
    <w:tcPr>
      <w:shd w:val="clear" w:color="auto" w:fill="F1F1F1" w:themeFill="accent3" w:themeFillTint="3F"/>
    </w:tcPr>
    <w:tblStylePr w:type="firstRow">
      <w:rPr>
        <w:b/>
        <w:bCs/>
      </w:rPr>
    </w:tblStylePr>
    <w:tblStylePr w:type="lastRow">
      <w:rPr>
        <w:b/>
        <w:bCs/>
      </w:rPr>
      <w:tblPr/>
      <w:tcPr>
        <w:tcBorders>
          <w:top w:val="single" w:sz="18" w:space="0" w:color="D5D5D5" w:themeColor="accent3" w:themeTint="BF"/>
        </w:tcBorders>
      </w:tcPr>
    </w:tblStylePr>
    <w:tblStylePr w:type="firstCol">
      <w:rPr>
        <w:b/>
        <w:bCs/>
      </w:rPr>
    </w:tblStylePr>
    <w:tblStylePr w:type="lastCol">
      <w:rPr>
        <w:b/>
        <w:bCs/>
      </w:rPr>
    </w:tblStylePr>
    <w:tblStylePr w:type="band1Vert">
      <w:tblPr/>
      <w:tcPr>
        <w:shd w:val="clear" w:color="auto" w:fill="E3E3E3" w:themeFill="accent3" w:themeFillTint="7F"/>
      </w:tcPr>
    </w:tblStylePr>
    <w:tblStylePr w:type="band1Horz">
      <w:tblPr/>
      <w:tcPr>
        <w:shd w:val="clear" w:color="auto" w:fill="E3E3E3" w:themeFill="accent3" w:themeFillTint="7F"/>
      </w:tcPr>
    </w:tblStylePr>
  </w:style>
  <w:style w:type="table" w:styleId="MediumGrid1-Accent4">
    <w:name w:val="Medium Grid 1 Accent 4"/>
    <w:basedOn w:val="TableNormal"/>
    <w:uiPriority w:val="67"/>
    <w:semiHidden/>
    <w:unhideWhenUsed/>
    <w:rsid w:val="009637A8"/>
    <w:pPr>
      <w:spacing w:after="0" w:line="240" w:lineRule="auto"/>
    </w:pPr>
    <w:tblPr>
      <w:tblStyleRowBandSize w:val="1"/>
      <w:tblStyleColBandSize w:val="1"/>
      <w:tblBorders>
        <w:top w:val="single" w:sz="8" w:space="0" w:color="00A4F7" w:themeColor="accent4" w:themeTint="BF"/>
        <w:left w:val="single" w:sz="8" w:space="0" w:color="00A4F7" w:themeColor="accent4" w:themeTint="BF"/>
        <w:bottom w:val="single" w:sz="8" w:space="0" w:color="00A4F7" w:themeColor="accent4" w:themeTint="BF"/>
        <w:right w:val="single" w:sz="8" w:space="0" w:color="00A4F7" w:themeColor="accent4" w:themeTint="BF"/>
        <w:insideH w:val="single" w:sz="8" w:space="0" w:color="00A4F7" w:themeColor="accent4" w:themeTint="BF"/>
        <w:insideV w:val="single" w:sz="8" w:space="0" w:color="00A4F7" w:themeColor="accent4" w:themeTint="BF"/>
      </w:tblBorders>
    </w:tblPr>
    <w:tcPr>
      <w:shd w:val="clear" w:color="auto" w:fill="A8E2FF" w:themeFill="accent4" w:themeFillTint="3F"/>
    </w:tcPr>
    <w:tblStylePr w:type="firstRow">
      <w:rPr>
        <w:b/>
        <w:bCs/>
      </w:rPr>
    </w:tblStylePr>
    <w:tblStylePr w:type="lastRow">
      <w:rPr>
        <w:b/>
        <w:bCs/>
      </w:rPr>
      <w:tblPr/>
      <w:tcPr>
        <w:tcBorders>
          <w:top w:val="single" w:sz="18" w:space="0" w:color="00A4F7" w:themeColor="accent4" w:themeTint="BF"/>
        </w:tcBorders>
      </w:tcPr>
    </w:tblStylePr>
    <w:tblStylePr w:type="firstCol">
      <w:rPr>
        <w:b/>
        <w:bCs/>
      </w:rPr>
    </w:tblStylePr>
    <w:tblStylePr w:type="lastCol">
      <w:rPr>
        <w:b/>
        <w:bCs/>
      </w:rPr>
    </w:tblStylePr>
    <w:tblStylePr w:type="band1Vert">
      <w:tblPr/>
      <w:tcPr>
        <w:shd w:val="clear" w:color="auto" w:fill="50C4FF" w:themeFill="accent4" w:themeFillTint="7F"/>
      </w:tcPr>
    </w:tblStylePr>
    <w:tblStylePr w:type="band1Horz">
      <w:tblPr/>
      <w:tcPr>
        <w:shd w:val="clear" w:color="auto" w:fill="50C4FF" w:themeFill="accent4" w:themeFillTint="7F"/>
      </w:tcPr>
    </w:tblStylePr>
  </w:style>
  <w:style w:type="table" w:styleId="MediumGrid1-Accent5">
    <w:name w:val="Medium Grid 1 Accent 5"/>
    <w:basedOn w:val="TableNormal"/>
    <w:uiPriority w:val="67"/>
    <w:semiHidden/>
    <w:unhideWhenUsed/>
    <w:rsid w:val="009637A8"/>
    <w:pPr>
      <w:spacing w:after="0" w:line="240" w:lineRule="auto"/>
    </w:pPr>
    <w:tblPr>
      <w:tblStyleRowBandSize w:val="1"/>
      <w:tblStyleColBandSize w:val="1"/>
      <w:tblBorders>
        <w:top w:val="single" w:sz="8" w:space="0" w:color="9CCDE0" w:themeColor="accent5" w:themeTint="BF"/>
        <w:left w:val="single" w:sz="8" w:space="0" w:color="9CCDE0" w:themeColor="accent5" w:themeTint="BF"/>
        <w:bottom w:val="single" w:sz="8" w:space="0" w:color="9CCDE0" w:themeColor="accent5" w:themeTint="BF"/>
        <w:right w:val="single" w:sz="8" w:space="0" w:color="9CCDE0" w:themeColor="accent5" w:themeTint="BF"/>
        <w:insideH w:val="single" w:sz="8" w:space="0" w:color="9CCDE0" w:themeColor="accent5" w:themeTint="BF"/>
        <w:insideV w:val="single" w:sz="8" w:space="0" w:color="9CCDE0" w:themeColor="accent5" w:themeTint="BF"/>
      </w:tblBorders>
    </w:tblPr>
    <w:tcPr>
      <w:shd w:val="clear" w:color="auto" w:fill="DEEEF4" w:themeFill="accent5" w:themeFillTint="3F"/>
    </w:tcPr>
    <w:tblStylePr w:type="firstRow">
      <w:rPr>
        <w:b/>
        <w:bCs/>
      </w:rPr>
    </w:tblStylePr>
    <w:tblStylePr w:type="lastRow">
      <w:rPr>
        <w:b/>
        <w:bCs/>
      </w:rPr>
      <w:tblPr/>
      <w:tcPr>
        <w:tcBorders>
          <w:top w:val="single" w:sz="18" w:space="0" w:color="9CCDE0" w:themeColor="accent5" w:themeTint="BF"/>
        </w:tcBorders>
      </w:tcPr>
    </w:tblStylePr>
    <w:tblStylePr w:type="firstCol">
      <w:rPr>
        <w:b/>
        <w:bCs/>
      </w:rPr>
    </w:tblStylePr>
    <w:tblStylePr w:type="lastCol">
      <w:rPr>
        <w:b/>
        <w:bCs/>
      </w:rPr>
    </w:tblStylePr>
    <w:tblStylePr w:type="band1Vert">
      <w:tblPr/>
      <w:tcPr>
        <w:shd w:val="clear" w:color="auto" w:fill="BDDDEA" w:themeFill="accent5" w:themeFillTint="7F"/>
      </w:tcPr>
    </w:tblStylePr>
    <w:tblStylePr w:type="band1Horz">
      <w:tblPr/>
      <w:tcPr>
        <w:shd w:val="clear" w:color="auto" w:fill="BDDDEA" w:themeFill="accent5" w:themeFillTint="7F"/>
      </w:tcPr>
    </w:tblStylePr>
  </w:style>
  <w:style w:type="table" w:styleId="MediumGrid1-Accent6">
    <w:name w:val="Medium Grid 1 Accent 6"/>
    <w:basedOn w:val="TableNormal"/>
    <w:uiPriority w:val="67"/>
    <w:semiHidden/>
    <w:unhideWhenUsed/>
    <w:rsid w:val="009637A8"/>
    <w:pPr>
      <w:spacing w:after="0" w:line="240" w:lineRule="auto"/>
    </w:pPr>
    <w:tblPr>
      <w:tblStyleRowBandSize w:val="1"/>
      <w:tblStyleColBandSize w:val="1"/>
      <w:tblBorders>
        <w:top w:val="single" w:sz="8" w:space="0" w:color="64B675" w:themeColor="accent6" w:themeTint="BF"/>
        <w:left w:val="single" w:sz="8" w:space="0" w:color="64B675" w:themeColor="accent6" w:themeTint="BF"/>
        <w:bottom w:val="single" w:sz="8" w:space="0" w:color="64B675" w:themeColor="accent6" w:themeTint="BF"/>
        <w:right w:val="single" w:sz="8" w:space="0" w:color="64B675" w:themeColor="accent6" w:themeTint="BF"/>
        <w:insideH w:val="single" w:sz="8" w:space="0" w:color="64B675" w:themeColor="accent6" w:themeTint="BF"/>
        <w:insideV w:val="single" w:sz="8" w:space="0" w:color="64B675" w:themeColor="accent6" w:themeTint="BF"/>
      </w:tblBorders>
    </w:tblPr>
    <w:tcPr>
      <w:shd w:val="clear" w:color="auto" w:fill="CBE7D1" w:themeFill="accent6" w:themeFillTint="3F"/>
    </w:tcPr>
    <w:tblStylePr w:type="firstRow">
      <w:rPr>
        <w:b/>
        <w:bCs/>
      </w:rPr>
    </w:tblStylePr>
    <w:tblStylePr w:type="lastRow">
      <w:rPr>
        <w:b/>
        <w:bCs/>
      </w:rPr>
      <w:tblPr/>
      <w:tcPr>
        <w:tcBorders>
          <w:top w:val="single" w:sz="18" w:space="0" w:color="64B675" w:themeColor="accent6" w:themeTint="BF"/>
        </w:tcBorders>
      </w:tcPr>
    </w:tblStylePr>
    <w:tblStylePr w:type="firstCol">
      <w:rPr>
        <w:b/>
        <w:bCs/>
      </w:rPr>
    </w:tblStylePr>
    <w:tblStylePr w:type="lastCol">
      <w:rPr>
        <w:b/>
        <w:bCs/>
      </w:rPr>
    </w:tblStylePr>
    <w:tblStylePr w:type="band1Vert">
      <w:tblPr/>
      <w:tcPr>
        <w:shd w:val="clear" w:color="auto" w:fill="98CFA3" w:themeFill="accent6" w:themeFillTint="7F"/>
      </w:tcPr>
    </w:tblStylePr>
    <w:tblStylePr w:type="band1Horz">
      <w:tblPr/>
      <w:tcPr>
        <w:shd w:val="clear" w:color="auto" w:fill="98CFA3" w:themeFill="accent6" w:themeFillTint="7F"/>
      </w:tcPr>
    </w:tblStylePr>
  </w:style>
  <w:style w:type="table" w:styleId="MediumGrid2">
    <w:name w:val="Medium Grid 2"/>
    <w:basedOn w:val="TableNormal"/>
    <w:uiPriority w:val="68"/>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9D85BE" w:themeColor="accent1"/>
        <w:left w:val="single" w:sz="8" w:space="0" w:color="9D85BE" w:themeColor="accent1"/>
        <w:bottom w:val="single" w:sz="8" w:space="0" w:color="9D85BE" w:themeColor="accent1"/>
        <w:right w:val="single" w:sz="8" w:space="0" w:color="9D85BE" w:themeColor="accent1"/>
        <w:insideH w:val="single" w:sz="8" w:space="0" w:color="9D85BE" w:themeColor="accent1"/>
        <w:insideV w:val="single" w:sz="8" w:space="0" w:color="9D85BE" w:themeColor="accent1"/>
      </w:tblBorders>
    </w:tblPr>
    <w:tcPr>
      <w:shd w:val="clear" w:color="auto" w:fill="E6E0EF" w:themeFill="accent1" w:themeFillTint="3F"/>
    </w:tcPr>
    <w:tblStylePr w:type="firstRow">
      <w:rPr>
        <w:b/>
        <w:bCs/>
        <w:color w:val="000000" w:themeColor="text1"/>
      </w:rPr>
      <w:tblPr/>
      <w:tcPr>
        <w:shd w:val="clear" w:color="auto" w:fill="F5F3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6F2" w:themeFill="accent1" w:themeFillTint="33"/>
      </w:tcPr>
    </w:tblStylePr>
    <w:tblStylePr w:type="band1Vert">
      <w:tblPr/>
      <w:tcPr>
        <w:shd w:val="clear" w:color="auto" w:fill="CEC2DE" w:themeFill="accent1" w:themeFillTint="7F"/>
      </w:tcPr>
    </w:tblStylePr>
    <w:tblStylePr w:type="band1Horz">
      <w:tblPr/>
      <w:tcPr>
        <w:tcBorders>
          <w:insideH w:val="single" w:sz="6" w:space="0" w:color="9D85BE" w:themeColor="accent1"/>
          <w:insideV w:val="single" w:sz="6" w:space="0" w:color="9D85BE" w:themeColor="accent1"/>
        </w:tcBorders>
        <w:shd w:val="clear" w:color="auto" w:fill="CEC2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7D7D7D" w:themeColor="accent2"/>
        <w:left w:val="single" w:sz="8" w:space="0" w:color="7D7D7D" w:themeColor="accent2"/>
        <w:bottom w:val="single" w:sz="8" w:space="0" w:color="7D7D7D" w:themeColor="accent2"/>
        <w:right w:val="single" w:sz="8" w:space="0" w:color="7D7D7D" w:themeColor="accent2"/>
        <w:insideH w:val="single" w:sz="8" w:space="0" w:color="7D7D7D" w:themeColor="accent2"/>
        <w:insideV w:val="single" w:sz="8" w:space="0" w:color="7D7D7D" w:themeColor="accent2"/>
      </w:tblBorders>
    </w:tblPr>
    <w:tcPr>
      <w:shd w:val="clear" w:color="auto" w:fill="DEDEDE" w:themeFill="accent2" w:themeFillTint="3F"/>
    </w:tcPr>
    <w:tblStylePr w:type="firstRow">
      <w:rPr>
        <w:b/>
        <w:bCs/>
        <w:color w:val="000000" w:themeColor="text1"/>
      </w:rPr>
      <w:tblPr/>
      <w:tcPr>
        <w:shd w:val="clear" w:color="auto" w:fill="F2F2F2"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2" w:themeFillTint="33"/>
      </w:tcPr>
    </w:tblStylePr>
    <w:tblStylePr w:type="band1Vert">
      <w:tblPr/>
      <w:tcPr>
        <w:shd w:val="clear" w:color="auto" w:fill="BEBEBE" w:themeFill="accent2" w:themeFillTint="7F"/>
      </w:tcPr>
    </w:tblStylePr>
    <w:tblStylePr w:type="band1Horz">
      <w:tblPr/>
      <w:tcPr>
        <w:tcBorders>
          <w:insideH w:val="single" w:sz="6" w:space="0" w:color="7D7D7D" w:themeColor="accent2"/>
          <w:insideV w:val="single" w:sz="6" w:space="0" w:color="7D7D7D" w:themeColor="accent2"/>
        </w:tcBorders>
        <w:shd w:val="clear" w:color="auto" w:fill="BEBEB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C8C8C8" w:themeColor="accent3"/>
        <w:left w:val="single" w:sz="8" w:space="0" w:color="C8C8C8" w:themeColor="accent3"/>
        <w:bottom w:val="single" w:sz="8" w:space="0" w:color="C8C8C8" w:themeColor="accent3"/>
        <w:right w:val="single" w:sz="8" w:space="0" w:color="C8C8C8" w:themeColor="accent3"/>
        <w:insideH w:val="single" w:sz="8" w:space="0" w:color="C8C8C8" w:themeColor="accent3"/>
        <w:insideV w:val="single" w:sz="8" w:space="0" w:color="C8C8C8" w:themeColor="accent3"/>
      </w:tblBorders>
    </w:tblPr>
    <w:tcPr>
      <w:shd w:val="clear" w:color="auto" w:fill="F1F1F1" w:themeFill="accent3" w:themeFillTint="3F"/>
    </w:tcPr>
    <w:tblStylePr w:type="firstRow">
      <w:rPr>
        <w:b/>
        <w:bCs/>
        <w:color w:val="000000" w:themeColor="text1"/>
      </w:rPr>
      <w:tblPr/>
      <w:tcPr>
        <w:shd w:val="clear" w:color="auto" w:fill="F9F9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4" w:themeFill="accent3" w:themeFillTint="33"/>
      </w:tcPr>
    </w:tblStylePr>
    <w:tblStylePr w:type="band1Vert">
      <w:tblPr/>
      <w:tcPr>
        <w:shd w:val="clear" w:color="auto" w:fill="E3E3E3" w:themeFill="accent3" w:themeFillTint="7F"/>
      </w:tcPr>
    </w:tblStylePr>
    <w:tblStylePr w:type="band1Horz">
      <w:tblPr/>
      <w:tcPr>
        <w:tcBorders>
          <w:insideH w:val="single" w:sz="6" w:space="0" w:color="C8C8C8" w:themeColor="accent3"/>
          <w:insideV w:val="single" w:sz="6" w:space="0" w:color="C8C8C8" w:themeColor="accent3"/>
        </w:tcBorders>
        <w:shd w:val="clear" w:color="auto" w:fill="E3E3E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006A9F" w:themeColor="accent4"/>
        <w:left w:val="single" w:sz="8" w:space="0" w:color="006A9F" w:themeColor="accent4"/>
        <w:bottom w:val="single" w:sz="8" w:space="0" w:color="006A9F" w:themeColor="accent4"/>
        <w:right w:val="single" w:sz="8" w:space="0" w:color="006A9F" w:themeColor="accent4"/>
        <w:insideH w:val="single" w:sz="8" w:space="0" w:color="006A9F" w:themeColor="accent4"/>
        <w:insideV w:val="single" w:sz="8" w:space="0" w:color="006A9F" w:themeColor="accent4"/>
      </w:tblBorders>
    </w:tblPr>
    <w:tcPr>
      <w:shd w:val="clear" w:color="auto" w:fill="A8E2FF" w:themeFill="accent4" w:themeFillTint="3F"/>
    </w:tcPr>
    <w:tblStylePr w:type="firstRow">
      <w:rPr>
        <w:b/>
        <w:bCs/>
        <w:color w:val="000000" w:themeColor="text1"/>
      </w:rPr>
      <w:tblPr/>
      <w:tcPr>
        <w:shd w:val="clear" w:color="auto" w:fill="DCF3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E7FF" w:themeFill="accent4" w:themeFillTint="33"/>
      </w:tcPr>
    </w:tblStylePr>
    <w:tblStylePr w:type="band1Vert">
      <w:tblPr/>
      <w:tcPr>
        <w:shd w:val="clear" w:color="auto" w:fill="50C4FF" w:themeFill="accent4" w:themeFillTint="7F"/>
      </w:tcPr>
    </w:tblStylePr>
    <w:tblStylePr w:type="band1Horz">
      <w:tblPr/>
      <w:tcPr>
        <w:tcBorders>
          <w:insideH w:val="single" w:sz="6" w:space="0" w:color="006A9F" w:themeColor="accent4"/>
          <w:insideV w:val="single" w:sz="6" w:space="0" w:color="006A9F" w:themeColor="accent4"/>
        </w:tcBorders>
        <w:shd w:val="clear" w:color="auto" w:fill="50C4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7BBDD6" w:themeColor="accent5"/>
        <w:left w:val="single" w:sz="8" w:space="0" w:color="7BBDD6" w:themeColor="accent5"/>
        <w:bottom w:val="single" w:sz="8" w:space="0" w:color="7BBDD6" w:themeColor="accent5"/>
        <w:right w:val="single" w:sz="8" w:space="0" w:color="7BBDD6" w:themeColor="accent5"/>
        <w:insideH w:val="single" w:sz="8" w:space="0" w:color="7BBDD6" w:themeColor="accent5"/>
        <w:insideV w:val="single" w:sz="8" w:space="0" w:color="7BBDD6" w:themeColor="accent5"/>
      </w:tblBorders>
    </w:tblPr>
    <w:tcPr>
      <w:shd w:val="clear" w:color="auto" w:fill="DEEEF4" w:themeFill="accent5" w:themeFillTint="3F"/>
    </w:tcPr>
    <w:tblStylePr w:type="firstRow">
      <w:rPr>
        <w:b/>
        <w:bCs/>
        <w:color w:val="000000" w:themeColor="text1"/>
      </w:rPr>
      <w:tblPr/>
      <w:tcPr>
        <w:shd w:val="clear" w:color="auto" w:fill="F2F8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F1F6" w:themeFill="accent5" w:themeFillTint="33"/>
      </w:tcPr>
    </w:tblStylePr>
    <w:tblStylePr w:type="band1Vert">
      <w:tblPr/>
      <w:tcPr>
        <w:shd w:val="clear" w:color="auto" w:fill="BDDDEA" w:themeFill="accent5" w:themeFillTint="7F"/>
      </w:tcPr>
    </w:tblStylePr>
    <w:tblStylePr w:type="band1Horz">
      <w:tblPr/>
      <w:tcPr>
        <w:tcBorders>
          <w:insideH w:val="single" w:sz="6" w:space="0" w:color="7BBDD6" w:themeColor="accent5"/>
          <w:insideV w:val="single" w:sz="6" w:space="0" w:color="7BBDD6" w:themeColor="accent5"/>
        </w:tcBorders>
        <w:shd w:val="clear" w:color="auto" w:fill="BDDD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428D52" w:themeColor="accent6"/>
        <w:left w:val="single" w:sz="8" w:space="0" w:color="428D52" w:themeColor="accent6"/>
        <w:bottom w:val="single" w:sz="8" w:space="0" w:color="428D52" w:themeColor="accent6"/>
        <w:right w:val="single" w:sz="8" w:space="0" w:color="428D52" w:themeColor="accent6"/>
        <w:insideH w:val="single" w:sz="8" w:space="0" w:color="428D52" w:themeColor="accent6"/>
        <w:insideV w:val="single" w:sz="8" w:space="0" w:color="428D52" w:themeColor="accent6"/>
      </w:tblBorders>
    </w:tblPr>
    <w:tcPr>
      <w:shd w:val="clear" w:color="auto" w:fill="CBE7D1" w:themeFill="accent6" w:themeFillTint="3F"/>
    </w:tcPr>
    <w:tblStylePr w:type="firstRow">
      <w:rPr>
        <w:b/>
        <w:bCs/>
        <w:color w:val="000000" w:themeColor="text1"/>
      </w:rPr>
      <w:tblPr/>
      <w:tcPr>
        <w:shd w:val="clear" w:color="auto" w:fill="EAF5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BDA" w:themeFill="accent6" w:themeFillTint="33"/>
      </w:tcPr>
    </w:tblStylePr>
    <w:tblStylePr w:type="band1Vert">
      <w:tblPr/>
      <w:tcPr>
        <w:shd w:val="clear" w:color="auto" w:fill="98CFA3" w:themeFill="accent6" w:themeFillTint="7F"/>
      </w:tcPr>
    </w:tblStylePr>
    <w:tblStylePr w:type="band1Horz">
      <w:tblPr/>
      <w:tcPr>
        <w:tcBorders>
          <w:insideH w:val="single" w:sz="6" w:space="0" w:color="428D52" w:themeColor="accent6"/>
          <w:insideV w:val="single" w:sz="6" w:space="0" w:color="428D52" w:themeColor="accent6"/>
        </w:tcBorders>
        <w:shd w:val="clear" w:color="auto" w:fill="98CFA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0E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85B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85B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85B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85B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2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2DE" w:themeFill="accent1" w:themeFillTint="7F"/>
      </w:tcPr>
    </w:tblStylePr>
  </w:style>
  <w:style w:type="table" w:styleId="MediumGrid3-Accent2">
    <w:name w:val="Medium Grid 3 Accent 2"/>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DED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7D7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7D7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7D7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7D7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EB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EBE" w:themeFill="accent2" w:themeFillTint="7F"/>
      </w:tcPr>
    </w:tblStylePr>
  </w:style>
  <w:style w:type="table" w:styleId="MediumGrid3-Accent3">
    <w:name w:val="Medium Grid 3 Accent 3"/>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1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C8C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C8C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C8C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C8C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E3E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E3E3" w:themeFill="accent3" w:themeFillTint="7F"/>
      </w:tcPr>
    </w:tblStylePr>
  </w:style>
  <w:style w:type="table" w:styleId="MediumGrid3-Accent4">
    <w:name w:val="Medium Grid 3 Accent 4"/>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E2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A9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A9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A9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A9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0C4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0C4FF" w:themeFill="accent4" w:themeFillTint="7F"/>
      </w:tcPr>
    </w:tblStylePr>
  </w:style>
  <w:style w:type="table" w:styleId="MediumGrid3-Accent5">
    <w:name w:val="Medium Grid 3 Accent 5"/>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E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BBDD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BBDD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BBDD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BBDD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DD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DDEA" w:themeFill="accent5" w:themeFillTint="7F"/>
      </w:tcPr>
    </w:tblStylePr>
  </w:style>
  <w:style w:type="table" w:styleId="MediumGrid3-Accent6">
    <w:name w:val="Medium Grid 3 Accent 6"/>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E7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28D5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28D5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28D5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28D5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CFA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CFA3" w:themeFill="accent6" w:themeFillTint="7F"/>
      </w:tcPr>
    </w:tblStylePr>
  </w:style>
  <w:style w:type="table" w:styleId="MediumList1">
    <w:name w:val="Medium List 1"/>
    <w:basedOn w:val="TableNormal"/>
    <w:uiPriority w:val="65"/>
    <w:semiHidden/>
    <w:unhideWhenUsed/>
    <w:rsid w:val="009637A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6C3F99"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637A8"/>
    <w:pPr>
      <w:spacing w:after="0" w:line="240" w:lineRule="auto"/>
    </w:pPr>
    <w:rPr>
      <w:color w:val="000000" w:themeColor="text1"/>
    </w:rPr>
    <w:tblPr>
      <w:tblStyleRowBandSize w:val="1"/>
      <w:tblStyleColBandSize w:val="1"/>
      <w:tblBorders>
        <w:top w:val="single" w:sz="8" w:space="0" w:color="9D85BE" w:themeColor="accent1"/>
        <w:bottom w:val="single" w:sz="8" w:space="0" w:color="9D85BE" w:themeColor="accent1"/>
      </w:tblBorders>
    </w:tblPr>
    <w:tblStylePr w:type="firstRow">
      <w:rPr>
        <w:rFonts w:asciiTheme="majorHAnsi" w:eastAsiaTheme="majorEastAsia" w:hAnsiTheme="majorHAnsi" w:cstheme="majorBidi"/>
      </w:rPr>
      <w:tblPr/>
      <w:tcPr>
        <w:tcBorders>
          <w:top w:val="nil"/>
          <w:bottom w:val="single" w:sz="8" w:space="0" w:color="9D85BE" w:themeColor="accent1"/>
        </w:tcBorders>
      </w:tcPr>
    </w:tblStylePr>
    <w:tblStylePr w:type="lastRow">
      <w:rPr>
        <w:b/>
        <w:bCs/>
        <w:color w:val="6C3F99" w:themeColor="text2"/>
      </w:rPr>
      <w:tblPr/>
      <w:tcPr>
        <w:tcBorders>
          <w:top w:val="single" w:sz="8" w:space="0" w:color="9D85BE" w:themeColor="accent1"/>
          <w:bottom w:val="single" w:sz="8" w:space="0" w:color="9D85BE" w:themeColor="accent1"/>
        </w:tcBorders>
      </w:tcPr>
    </w:tblStylePr>
    <w:tblStylePr w:type="firstCol">
      <w:rPr>
        <w:b/>
        <w:bCs/>
      </w:rPr>
    </w:tblStylePr>
    <w:tblStylePr w:type="lastCol">
      <w:rPr>
        <w:b/>
        <w:bCs/>
      </w:rPr>
      <w:tblPr/>
      <w:tcPr>
        <w:tcBorders>
          <w:top w:val="single" w:sz="8" w:space="0" w:color="9D85BE" w:themeColor="accent1"/>
          <w:bottom w:val="single" w:sz="8" w:space="0" w:color="9D85BE" w:themeColor="accent1"/>
        </w:tcBorders>
      </w:tcPr>
    </w:tblStylePr>
    <w:tblStylePr w:type="band1Vert">
      <w:tblPr/>
      <w:tcPr>
        <w:shd w:val="clear" w:color="auto" w:fill="E6E0EF" w:themeFill="accent1" w:themeFillTint="3F"/>
      </w:tcPr>
    </w:tblStylePr>
    <w:tblStylePr w:type="band1Horz">
      <w:tblPr/>
      <w:tcPr>
        <w:shd w:val="clear" w:color="auto" w:fill="E6E0EF" w:themeFill="accent1" w:themeFillTint="3F"/>
      </w:tcPr>
    </w:tblStylePr>
  </w:style>
  <w:style w:type="table" w:styleId="MediumList1-Accent2">
    <w:name w:val="Medium List 1 Accent 2"/>
    <w:basedOn w:val="TableNormal"/>
    <w:uiPriority w:val="65"/>
    <w:semiHidden/>
    <w:unhideWhenUsed/>
    <w:rsid w:val="009637A8"/>
    <w:pPr>
      <w:spacing w:after="0" w:line="240" w:lineRule="auto"/>
    </w:pPr>
    <w:rPr>
      <w:color w:val="000000" w:themeColor="text1"/>
    </w:rPr>
    <w:tblPr>
      <w:tblStyleRowBandSize w:val="1"/>
      <w:tblStyleColBandSize w:val="1"/>
      <w:tblBorders>
        <w:top w:val="single" w:sz="8" w:space="0" w:color="7D7D7D" w:themeColor="accent2"/>
        <w:bottom w:val="single" w:sz="8" w:space="0" w:color="7D7D7D" w:themeColor="accent2"/>
      </w:tblBorders>
    </w:tblPr>
    <w:tblStylePr w:type="firstRow">
      <w:rPr>
        <w:rFonts w:asciiTheme="majorHAnsi" w:eastAsiaTheme="majorEastAsia" w:hAnsiTheme="majorHAnsi" w:cstheme="majorBidi"/>
      </w:rPr>
      <w:tblPr/>
      <w:tcPr>
        <w:tcBorders>
          <w:top w:val="nil"/>
          <w:bottom w:val="single" w:sz="8" w:space="0" w:color="7D7D7D" w:themeColor="accent2"/>
        </w:tcBorders>
      </w:tcPr>
    </w:tblStylePr>
    <w:tblStylePr w:type="lastRow">
      <w:rPr>
        <w:b/>
        <w:bCs/>
        <w:color w:val="6C3F99" w:themeColor="text2"/>
      </w:rPr>
      <w:tblPr/>
      <w:tcPr>
        <w:tcBorders>
          <w:top w:val="single" w:sz="8" w:space="0" w:color="7D7D7D" w:themeColor="accent2"/>
          <w:bottom w:val="single" w:sz="8" w:space="0" w:color="7D7D7D" w:themeColor="accent2"/>
        </w:tcBorders>
      </w:tcPr>
    </w:tblStylePr>
    <w:tblStylePr w:type="firstCol">
      <w:rPr>
        <w:b/>
        <w:bCs/>
      </w:rPr>
    </w:tblStylePr>
    <w:tblStylePr w:type="lastCol">
      <w:rPr>
        <w:b/>
        <w:bCs/>
      </w:rPr>
      <w:tblPr/>
      <w:tcPr>
        <w:tcBorders>
          <w:top w:val="single" w:sz="8" w:space="0" w:color="7D7D7D" w:themeColor="accent2"/>
          <w:bottom w:val="single" w:sz="8" w:space="0" w:color="7D7D7D" w:themeColor="accent2"/>
        </w:tcBorders>
      </w:tcPr>
    </w:tblStylePr>
    <w:tblStylePr w:type="band1Vert">
      <w:tblPr/>
      <w:tcPr>
        <w:shd w:val="clear" w:color="auto" w:fill="DEDEDE" w:themeFill="accent2" w:themeFillTint="3F"/>
      </w:tcPr>
    </w:tblStylePr>
    <w:tblStylePr w:type="band1Horz">
      <w:tblPr/>
      <w:tcPr>
        <w:shd w:val="clear" w:color="auto" w:fill="DEDEDE" w:themeFill="accent2" w:themeFillTint="3F"/>
      </w:tcPr>
    </w:tblStylePr>
  </w:style>
  <w:style w:type="table" w:styleId="MediumList1-Accent3">
    <w:name w:val="Medium List 1 Accent 3"/>
    <w:basedOn w:val="TableNormal"/>
    <w:uiPriority w:val="65"/>
    <w:semiHidden/>
    <w:unhideWhenUsed/>
    <w:rsid w:val="009637A8"/>
    <w:pPr>
      <w:spacing w:after="0" w:line="240" w:lineRule="auto"/>
    </w:pPr>
    <w:rPr>
      <w:color w:val="000000" w:themeColor="text1"/>
    </w:rPr>
    <w:tblPr>
      <w:tblStyleRowBandSize w:val="1"/>
      <w:tblStyleColBandSize w:val="1"/>
      <w:tblBorders>
        <w:top w:val="single" w:sz="8" w:space="0" w:color="C8C8C8" w:themeColor="accent3"/>
        <w:bottom w:val="single" w:sz="8" w:space="0" w:color="C8C8C8" w:themeColor="accent3"/>
      </w:tblBorders>
    </w:tblPr>
    <w:tblStylePr w:type="firstRow">
      <w:rPr>
        <w:rFonts w:asciiTheme="majorHAnsi" w:eastAsiaTheme="majorEastAsia" w:hAnsiTheme="majorHAnsi" w:cstheme="majorBidi"/>
      </w:rPr>
      <w:tblPr/>
      <w:tcPr>
        <w:tcBorders>
          <w:top w:val="nil"/>
          <w:bottom w:val="single" w:sz="8" w:space="0" w:color="C8C8C8" w:themeColor="accent3"/>
        </w:tcBorders>
      </w:tcPr>
    </w:tblStylePr>
    <w:tblStylePr w:type="lastRow">
      <w:rPr>
        <w:b/>
        <w:bCs/>
        <w:color w:val="6C3F99" w:themeColor="text2"/>
      </w:rPr>
      <w:tblPr/>
      <w:tcPr>
        <w:tcBorders>
          <w:top w:val="single" w:sz="8" w:space="0" w:color="C8C8C8" w:themeColor="accent3"/>
          <w:bottom w:val="single" w:sz="8" w:space="0" w:color="C8C8C8" w:themeColor="accent3"/>
        </w:tcBorders>
      </w:tcPr>
    </w:tblStylePr>
    <w:tblStylePr w:type="firstCol">
      <w:rPr>
        <w:b/>
        <w:bCs/>
      </w:rPr>
    </w:tblStylePr>
    <w:tblStylePr w:type="lastCol">
      <w:rPr>
        <w:b/>
        <w:bCs/>
      </w:rPr>
      <w:tblPr/>
      <w:tcPr>
        <w:tcBorders>
          <w:top w:val="single" w:sz="8" w:space="0" w:color="C8C8C8" w:themeColor="accent3"/>
          <w:bottom w:val="single" w:sz="8" w:space="0" w:color="C8C8C8" w:themeColor="accent3"/>
        </w:tcBorders>
      </w:tcPr>
    </w:tblStylePr>
    <w:tblStylePr w:type="band1Vert">
      <w:tblPr/>
      <w:tcPr>
        <w:shd w:val="clear" w:color="auto" w:fill="F1F1F1" w:themeFill="accent3" w:themeFillTint="3F"/>
      </w:tcPr>
    </w:tblStylePr>
    <w:tblStylePr w:type="band1Horz">
      <w:tblPr/>
      <w:tcPr>
        <w:shd w:val="clear" w:color="auto" w:fill="F1F1F1" w:themeFill="accent3" w:themeFillTint="3F"/>
      </w:tcPr>
    </w:tblStylePr>
  </w:style>
  <w:style w:type="table" w:styleId="MediumList1-Accent4">
    <w:name w:val="Medium List 1 Accent 4"/>
    <w:basedOn w:val="TableNormal"/>
    <w:uiPriority w:val="65"/>
    <w:semiHidden/>
    <w:unhideWhenUsed/>
    <w:rsid w:val="009637A8"/>
    <w:pPr>
      <w:spacing w:after="0" w:line="240" w:lineRule="auto"/>
    </w:pPr>
    <w:rPr>
      <w:color w:val="000000" w:themeColor="text1"/>
    </w:rPr>
    <w:tblPr>
      <w:tblStyleRowBandSize w:val="1"/>
      <w:tblStyleColBandSize w:val="1"/>
      <w:tblBorders>
        <w:top w:val="single" w:sz="8" w:space="0" w:color="006A9F" w:themeColor="accent4"/>
        <w:bottom w:val="single" w:sz="8" w:space="0" w:color="006A9F" w:themeColor="accent4"/>
      </w:tblBorders>
    </w:tblPr>
    <w:tblStylePr w:type="firstRow">
      <w:rPr>
        <w:rFonts w:asciiTheme="majorHAnsi" w:eastAsiaTheme="majorEastAsia" w:hAnsiTheme="majorHAnsi" w:cstheme="majorBidi"/>
      </w:rPr>
      <w:tblPr/>
      <w:tcPr>
        <w:tcBorders>
          <w:top w:val="nil"/>
          <w:bottom w:val="single" w:sz="8" w:space="0" w:color="006A9F" w:themeColor="accent4"/>
        </w:tcBorders>
      </w:tcPr>
    </w:tblStylePr>
    <w:tblStylePr w:type="lastRow">
      <w:rPr>
        <w:b/>
        <w:bCs/>
        <w:color w:val="6C3F99" w:themeColor="text2"/>
      </w:rPr>
      <w:tblPr/>
      <w:tcPr>
        <w:tcBorders>
          <w:top w:val="single" w:sz="8" w:space="0" w:color="006A9F" w:themeColor="accent4"/>
          <w:bottom w:val="single" w:sz="8" w:space="0" w:color="006A9F" w:themeColor="accent4"/>
        </w:tcBorders>
      </w:tcPr>
    </w:tblStylePr>
    <w:tblStylePr w:type="firstCol">
      <w:rPr>
        <w:b/>
        <w:bCs/>
      </w:rPr>
    </w:tblStylePr>
    <w:tblStylePr w:type="lastCol">
      <w:rPr>
        <w:b/>
        <w:bCs/>
      </w:rPr>
      <w:tblPr/>
      <w:tcPr>
        <w:tcBorders>
          <w:top w:val="single" w:sz="8" w:space="0" w:color="006A9F" w:themeColor="accent4"/>
          <w:bottom w:val="single" w:sz="8" w:space="0" w:color="006A9F" w:themeColor="accent4"/>
        </w:tcBorders>
      </w:tcPr>
    </w:tblStylePr>
    <w:tblStylePr w:type="band1Vert">
      <w:tblPr/>
      <w:tcPr>
        <w:shd w:val="clear" w:color="auto" w:fill="A8E2FF" w:themeFill="accent4" w:themeFillTint="3F"/>
      </w:tcPr>
    </w:tblStylePr>
    <w:tblStylePr w:type="band1Horz">
      <w:tblPr/>
      <w:tcPr>
        <w:shd w:val="clear" w:color="auto" w:fill="A8E2FF" w:themeFill="accent4" w:themeFillTint="3F"/>
      </w:tcPr>
    </w:tblStylePr>
  </w:style>
  <w:style w:type="table" w:styleId="MediumList1-Accent5">
    <w:name w:val="Medium List 1 Accent 5"/>
    <w:basedOn w:val="TableNormal"/>
    <w:uiPriority w:val="65"/>
    <w:semiHidden/>
    <w:unhideWhenUsed/>
    <w:rsid w:val="009637A8"/>
    <w:pPr>
      <w:spacing w:after="0" w:line="240" w:lineRule="auto"/>
    </w:pPr>
    <w:rPr>
      <w:color w:val="000000" w:themeColor="text1"/>
    </w:rPr>
    <w:tblPr>
      <w:tblStyleRowBandSize w:val="1"/>
      <w:tblStyleColBandSize w:val="1"/>
      <w:tblBorders>
        <w:top w:val="single" w:sz="8" w:space="0" w:color="7BBDD6" w:themeColor="accent5"/>
        <w:bottom w:val="single" w:sz="8" w:space="0" w:color="7BBDD6" w:themeColor="accent5"/>
      </w:tblBorders>
    </w:tblPr>
    <w:tblStylePr w:type="firstRow">
      <w:rPr>
        <w:rFonts w:asciiTheme="majorHAnsi" w:eastAsiaTheme="majorEastAsia" w:hAnsiTheme="majorHAnsi" w:cstheme="majorBidi"/>
      </w:rPr>
      <w:tblPr/>
      <w:tcPr>
        <w:tcBorders>
          <w:top w:val="nil"/>
          <w:bottom w:val="single" w:sz="8" w:space="0" w:color="7BBDD6" w:themeColor="accent5"/>
        </w:tcBorders>
      </w:tcPr>
    </w:tblStylePr>
    <w:tblStylePr w:type="lastRow">
      <w:rPr>
        <w:b/>
        <w:bCs/>
        <w:color w:val="6C3F99" w:themeColor="text2"/>
      </w:rPr>
      <w:tblPr/>
      <w:tcPr>
        <w:tcBorders>
          <w:top w:val="single" w:sz="8" w:space="0" w:color="7BBDD6" w:themeColor="accent5"/>
          <w:bottom w:val="single" w:sz="8" w:space="0" w:color="7BBDD6" w:themeColor="accent5"/>
        </w:tcBorders>
      </w:tcPr>
    </w:tblStylePr>
    <w:tblStylePr w:type="firstCol">
      <w:rPr>
        <w:b/>
        <w:bCs/>
      </w:rPr>
    </w:tblStylePr>
    <w:tblStylePr w:type="lastCol">
      <w:rPr>
        <w:b/>
        <w:bCs/>
      </w:rPr>
      <w:tblPr/>
      <w:tcPr>
        <w:tcBorders>
          <w:top w:val="single" w:sz="8" w:space="0" w:color="7BBDD6" w:themeColor="accent5"/>
          <w:bottom w:val="single" w:sz="8" w:space="0" w:color="7BBDD6" w:themeColor="accent5"/>
        </w:tcBorders>
      </w:tcPr>
    </w:tblStylePr>
    <w:tblStylePr w:type="band1Vert">
      <w:tblPr/>
      <w:tcPr>
        <w:shd w:val="clear" w:color="auto" w:fill="DEEEF4" w:themeFill="accent5" w:themeFillTint="3F"/>
      </w:tcPr>
    </w:tblStylePr>
    <w:tblStylePr w:type="band1Horz">
      <w:tblPr/>
      <w:tcPr>
        <w:shd w:val="clear" w:color="auto" w:fill="DEEEF4" w:themeFill="accent5" w:themeFillTint="3F"/>
      </w:tcPr>
    </w:tblStylePr>
  </w:style>
  <w:style w:type="table" w:styleId="MediumList1-Accent6">
    <w:name w:val="Medium List 1 Accent 6"/>
    <w:basedOn w:val="TableNormal"/>
    <w:uiPriority w:val="65"/>
    <w:semiHidden/>
    <w:unhideWhenUsed/>
    <w:rsid w:val="009637A8"/>
    <w:pPr>
      <w:spacing w:after="0" w:line="240" w:lineRule="auto"/>
    </w:pPr>
    <w:rPr>
      <w:color w:val="000000" w:themeColor="text1"/>
    </w:rPr>
    <w:tblPr>
      <w:tblStyleRowBandSize w:val="1"/>
      <w:tblStyleColBandSize w:val="1"/>
      <w:tblBorders>
        <w:top w:val="single" w:sz="8" w:space="0" w:color="428D52" w:themeColor="accent6"/>
        <w:bottom w:val="single" w:sz="8" w:space="0" w:color="428D52" w:themeColor="accent6"/>
      </w:tblBorders>
    </w:tblPr>
    <w:tblStylePr w:type="firstRow">
      <w:rPr>
        <w:rFonts w:asciiTheme="majorHAnsi" w:eastAsiaTheme="majorEastAsia" w:hAnsiTheme="majorHAnsi" w:cstheme="majorBidi"/>
      </w:rPr>
      <w:tblPr/>
      <w:tcPr>
        <w:tcBorders>
          <w:top w:val="nil"/>
          <w:bottom w:val="single" w:sz="8" w:space="0" w:color="428D52" w:themeColor="accent6"/>
        </w:tcBorders>
      </w:tcPr>
    </w:tblStylePr>
    <w:tblStylePr w:type="lastRow">
      <w:rPr>
        <w:b/>
        <w:bCs/>
        <w:color w:val="6C3F99" w:themeColor="text2"/>
      </w:rPr>
      <w:tblPr/>
      <w:tcPr>
        <w:tcBorders>
          <w:top w:val="single" w:sz="8" w:space="0" w:color="428D52" w:themeColor="accent6"/>
          <w:bottom w:val="single" w:sz="8" w:space="0" w:color="428D52" w:themeColor="accent6"/>
        </w:tcBorders>
      </w:tcPr>
    </w:tblStylePr>
    <w:tblStylePr w:type="firstCol">
      <w:rPr>
        <w:b/>
        <w:bCs/>
      </w:rPr>
    </w:tblStylePr>
    <w:tblStylePr w:type="lastCol">
      <w:rPr>
        <w:b/>
        <w:bCs/>
      </w:rPr>
      <w:tblPr/>
      <w:tcPr>
        <w:tcBorders>
          <w:top w:val="single" w:sz="8" w:space="0" w:color="428D52" w:themeColor="accent6"/>
          <w:bottom w:val="single" w:sz="8" w:space="0" w:color="428D52" w:themeColor="accent6"/>
        </w:tcBorders>
      </w:tcPr>
    </w:tblStylePr>
    <w:tblStylePr w:type="band1Vert">
      <w:tblPr/>
      <w:tcPr>
        <w:shd w:val="clear" w:color="auto" w:fill="CBE7D1" w:themeFill="accent6" w:themeFillTint="3F"/>
      </w:tcPr>
    </w:tblStylePr>
    <w:tblStylePr w:type="band1Horz">
      <w:tblPr/>
      <w:tcPr>
        <w:shd w:val="clear" w:color="auto" w:fill="CBE7D1" w:themeFill="accent6" w:themeFillTint="3F"/>
      </w:tcPr>
    </w:tblStylePr>
  </w:style>
  <w:style w:type="table" w:styleId="MediumList2">
    <w:name w:val="Medium List 2"/>
    <w:basedOn w:val="TableNormal"/>
    <w:uiPriority w:val="66"/>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9D85BE" w:themeColor="accent1"/>
        <w:left w:val="single" w:sz="8" w:space="0" w:color="9D85BE" w:themeColor="accent1"/>
        <w:bottom w:val="single" w:sz="8" w:space="0" w:color="9D85BE" w:themeColor="accent1"/>
        <w:right w:val="single" w:sz="8" w:space="0" w:color="9D85BE" w:themeColor="accent1"/>
      </w:tblBorders>
    </w:tblPr>
    <w:tblStylePr w:type="firstRow">
      <w:rPr>
        <w:sz w:val="24"/>
        <w:szCs w:val="24"/>
      </w:rPr>
      <w:tblPr/>
      <w:tcPr>
        <w:tcBorders>
          <w:top w:val="nil"/>
          <w:left w:val="nil"/>
          <w:bottom w:val="single" w:sz="24" w:space="0" w:color="9D85BE" w:themeColor="accent1"/>
          <w:right w:val="nil"/>
          <w:insideH w:val="nil"/>
          <w:insideV w:val="nil"/>
        </w:tcBorders>
        <w:shd w:val="clear" w:color="auto" w:fill="FFFFFF" w:themeFill="background1"/>
      </w:tcPr>
    </w:tblStylePr>
    <w:tblStylePr w:type="lastRow">
      <w:tblPr/>
      <w:tcPr>
        <w:tcBorders>
          <w:top w:val="single" w:sz="8" w:space="0" w:color="9D85B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85BE" w:themeColor="accent1"/>
          <w:insideH w:val="nil"/>
          <w:insideV w:val="nil"/>
        </w:tcBorders>
        <w:shd w:val="clear" w:color="auto" w:fill="FFFFFF" w:themeFill="background1"/>
      </w:tcPr>
    </w:tblStylePr>
    <w:tblStylePr w:type="lastCol">
      <w:tblPr/>
      <w:tcPr>
        <w:tcBorders>
          <w:top w:val="nil"/>
          <w:left w:val="single" w:sz="8" w:space="0" w:color="9D85B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0EF" w:themeFill="accent1" w:themeFillTint="3F"/>
      </w:tcPr>
    </w:tblStylePr>
    <w:tblStylePr w:type="band1Horz">
      <w:tblPr/>
      <w:tcPr>
        <w:tcBorders>
          <w:top w:val="nil"/>
          <w:bottom w:val="nil"/>
          <w:insideH w:val="nil"/>
          <w:insideV w:val="nil"/>
        </w:tcBorders>
        <w:shd w:val="clear" w:color="auto" w:fill="E6E0E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7D7D7D" w:themeColor="accent2"/>
        <w:left w:val="single" w:sz="8" w:space="0" w:color="7D7D7D" w:themeColor="accent2"/>
        <w:bottom w:val="single" w:sz="8" w:space="0" w:color="7D7D7D" w:themeColor="accent2"/>
        <w:right w:val="single" w:sz="8" w:space="0" w:color="7D7D7D" w:themeColor="accent2"/>
      </w:tblBorders>
    </w:tblPr>
    <w:tblStylePr w:type="firstRow">
      <w:rPr>
        <w:sz w:val="24"/>
        <w:szCs w:val="24"/>
      </w:rPr>
      <w:tblPr/>
      <w:tcPr>
        <w:tcBorders>
          <w:top w:val="nil"/>
          <w:left w:val="nil"/>
          <w:bottom w:val="single" w:sz="24" w:space="0" w:color="7D7D7D" w:themeColor="accent2"/>
          <w:right w:val="nil"/>
          <w:insideH w:val="nil"/>
          <w:insideV w:val="nil"/>
        </w:tcBorders>
        <w:shd w:val="clear" w:color="auto" w:fill="FFFFFF" w:themeFill="background1"/>
      </w:tcPr>
    </w:tblStylePr>
    <w:tblStylePr w:type="lastRow">
      <w:tblPr/>
      <w:tcPr>
        <w:tcBorders>
          <w:top w:val="single" w:sz="8" w:space="0" w:color="7D7D7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D7D7D" w:themeColor="accent2"/>
          <w:insideH w:val="nil"/>
          <w:insideV w:val="nil"/>
        </w:tcBorders>
        <w:shd w:val="clear" w:color="auto" w:fill="FFFFFF" w:themeFill="background1"/>
      </w:tcPr>
    </w:tblStylePr>
    <w:tblStylePr w:type="lastCol">
      <w:tblPr/>
      <w:tcPr>
        <w:tcBorders>
          <w:top w:val="nil"/>
          <w:left w:val="single" w:sz="8" w:space="0" w:color="7D7D7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DEDE" w:themeFill="accent2" w:themeFillTint="3F"/>
      </w:tcPr>
    </w:tblStylePr>
    <w:tblStylePr w:type="band1Horz">
      <w:tblPr/>
      <w:tcPr>
        <w:tcBorders>
          <w:top w:val="nil"/>
          <w:bottom w:val="nil"/>
          <w:insideH w:val="nil"/>
          <w:insideV w:val="nil"/>
        </w:tcBorders>
        <w:shd w:val="clear" w:color="auto" w:fill="DEDED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C8C8C8" w:themeColor="accent3"/>
        <w:left w:val="single" w:sz="8" w:space="0" w:color="C8C8C8" w:themeColor="accent3"/>
        <w:bottom w:val="single" w:sz="8" w:space="0" w:color="C8C8C8" w:themeColor="accent3"/>
        <w:right w:val="single" w:sz="8" w:space="0" w:color="C8C8C8" w:themeColor="accent3"/>
      </w:tblBorders>
    </w:tblPr>
    <w:tblStylePr w:type="firstRow">
      <w:rPr>
        <w:sz w:val="24"/>
        <w:szCs w:val="24"/>
      </w:rPr>
      <w:tblPr/>
      <w:tcPr>
        <w:tcBorders>
          <w:top w:val="nil"/>
          <w:left w:val="nil"/>
          <w:bottom w:val="single" w:sz="24" w:space="0" w:color="C8C8C8" w:themeColor="accent3"/>
          <w:right w:val="nil"/>
          <w:insideH w:val="nil"/>
          <w:insideV w:val="nil"/>
        </w:tcBorders>
        <w:shd w:val="clear" w:color="auto" w:fill="FFFFFF" w:themeFill="background1"/>
      </w:tcPr>
    </w:tblStylePr>
    <w:tblStylePr w:type="lastRow">
      <w:tblPr/>
      <w:tcPr>
        <w:tcBorders>
          <w:top w:val="single" w:sz="8" w:space="0" w:color="C8C8C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C8C8" w:themeColor="accent3"/>
          <w:insideH w:val="nil"/>
          <w:insideV w:val="nil"/>
        </w:tcBorders>
        <w:shd w:val="clear" w:color="auto" w:fill="FFFFFF" w:themeFill="background1"/>
      </w:tcPr>
    </w:tblStylePr>
    <w:tblStylePr w:type="lastCol">
      <w:tblPr/>
      <w:tcPr>
        <w:tcBorders>
          <w:top w:val="nil"/>
          <w:left w:val="single" w:sz="8" w:space="0" w:color="C8C8C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1F1" w:themeFill="accent3" w:themeFillTint="3F"/>
      </w:tcPr>
    </w:tblStylePr>
    <w:tblStylePr w:type="band1Horz">
      <w:tblPr/>
      <w:tcPr>
        <w:tcBorders>
          <w:top w:val="nil"/>
          <w:bottom w:val="nil"/>
          <w:insideH w:val="nil"/>
          <w:insideV w:val="nil"/>
        </w:tcBorders>
        <w:shd w:val="clear" w:color="auto" w:fill="F1F1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006A9F" w:themeColor="accent4"/>
        <w:left w:val="single" w:sz="8" w:space="0" w:color="006A9F" w:themeColor="accent4"/>
        <w:bottom w:val="single" w:sz="8" w:space="0" w:color="006A9F" w:themeColor="accent4"/>
        <w:right w:val="single" w:sz="8" w:space="0" w:color="006A9F" w:themeColor="accent4"/>
      </w:tblBorders>
    </w:tblPr>
    <w:tblStylePr w:type="firstRow">
      <w:rPr>
        <w:sz w:val="24"/>
        <w:szCs w:val="24"/>
      </w:rPr>
      <w:tblPr/>
      <w:tcPr>
        <w:tcBorders>
          <w:top w:val="nil"/>
          <w:left w:val="nil"/>
          <w:bottom w:val="single" w:sz="24" w:space="0" w:color="006A9F" w:themeColor="accent4"/>
          <w:right w:val="nil"/>
          <w:insideH w:val="nil"/>
          <w:insideV w:val="nil"/>
        </w:tcBorders>
        <w:shd w:val="clear" w:color="auto" w:fill="FFFFFF" w:themeFill="background1"/>
      </w:tcPr>
    </w:tblStylePr>
    <w:tblStylePr w:type="lastRow">
      <w:tblPr/>
      <w:tcPr>
        <w:tcBorders>
          <w:top w:val="single" w:sz="8" w:space="0" w:color="006A9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A9F" w:themeColor="accent4"/>
          <w:insideH w:val="nil"/>
          <w:insideV w:val="nil"/>
        </w:tcBorders>
        <w:shd w:val="clear" w:color="auto" w:fill="FFFFFF" w:themeFill="background1"/>
      </w:tcPr>
    </w:tblStylePr>
    <w:tblStylePr w:type="lastCol">
      <w:tblPr/>
      <w:tcPr>
        <w:tcBorders>
          <w:top w:val="nil"/>
          <w:left w:val="single" w:sz="8" w:space="0" w:color="006A9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E2FF" w:themeFill="accent4" w:themeFillTint="3F"/>
      </w:tcPr>
    </w:tblStylePr>
    <w:tblStylePr w:type="band1Horz">
      <w:tblPr/>
      <w:tcPr>
        <w:tcBorders>
          <w:top w:val="nil"/>
          <w:bottom w:val="nil"/>
          <w:insideH w:val="nil"/>
          <w:insideV w:val="nil"/>
        </w:tcBorders>
        <w:shd w:val="clear" w:color="auto" w:fill="A8E2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7BBDD6" w:themeColor="accent5"/>
        <w:left w:val="single" w:sz="8" w:space="0" w:color="7BBDD6" w:themeColor="accent5"/>
        <w:bottom w:val="single" w:sz="8" w:space="0" w:color="7BBDD6" w:themeColor="accent5"/>
        <w:right w:val="single" w:sz="8" w:space="0" w:color="7BBDD6" w:themeColor="accent5"/>
      </w:tblBorders>
    </w:tblPr>
    <w:tblStylePr w:type="firstRow">
      <w:rPr>
        <w:sz w:val="24"/>
        <w:szCs w:val="24"/>
      </w:rPr>
      <w:tblPr/>
      <w:tcPr>
        <w:tcBorders>
          <w:top w:val="nil"/>
          <w:left w:val="nil"/>
          <w:bottom w:val="single" w:sz="24" w:space="0" w:color="7BBDD6" w:themeColor="accent5"/>
          <w:right w:val="nil"/>
          <w:insideH w:val="nil"/>
          <w:insideV w:val="nil"/>
        </w:tcBorders>
        <w:shd w:val="clear" w:color="auto" w:fill="FFFFFF" w:themeFill="background1"/>
      </w:tcPr>
    </w:tblStylePr>
    <w:tblStylePr w:type="lastRow">
      <w:tblPr/>
      <w:tcPr>
        <w:tcBorders>
          <w:top w:val="single" w:sz="8" w:space="0" w:color="7BBDD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BBDD6" w:themeColor="accent5"/>
          <w:insideH w:val="nil"/>
          <w:insideV w:val="nil"/>
        </w:tcBorders>
        <w:shd w:val="clear" w:color="auto" w:fill="FFFFFF" w:themeFill="background1"/>
      </w:tcPr>
    </w:tblStylePr>
    <w:tblStylePr w:type="lastCol">
      <w:tblPr/>
      <w:tcPr>
        <w:tcBorders>
          <w:top w:val="nil"/>
          <w:left w:val="single" w:sz="8" w:space="0" w:color="7BBDD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EF4" w:themeFill="accent5" w:themeFillTint="3F"/>
      </w:tcPr>
    </w:tblStylePr>
    <w:tblStylePr w:type="band1Horz">
      <w:tblPr/>
      <w:tcPr>
        <w:tcBorders>
          <w:top w:val="nil"/>
          <w:bottom w:val="nil"/>
          <w:insideH w:val="nil"/>
          <w:insideV w:val="nil"/>
        </w:tcBorders>
        <w:shd w:val="clear" w:color="auto" w:fill="DEEE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428D52" w:themeColor="accent6"/>
        <w:left w:val="single" w:sz="8" w:space="0" w:color="428D52" w:themeColor="accent6"/>
        <w:bottom w:val="single" w:sz="8" w:space="0" w:color="428D52" w:themeColor="accent6"/>
        <w:right w:val="single" w:sz="8" w:space="0" w:color="428D52" w:themeColor="accent6"/>
      </w:tblBorders>
    </w:tblPr>
    <w:tblStylePr w:type="firstRow">
      <w:rPr>
        <w:sz w:val="24"/>
        <w:szCs w:val="24"/>
      </w:rPr>
      <w:tblPr/>
      <w:tcPr>
        <w:tcBorders>
          <w:top w:val="nil"/>
          <w:left w:val="nil"/>
          <w:bottom w:val="single" w:sz="24" w:space="0" w:color="428D52" w:themeColor="accent6"/>
          <w:right w:val="nil"/>
          <w:insideH w:val="nil"/>
          <w:insideV w:val="nil"/>
        </w:tcBorders>
        <w:shd w:val="clear" w:color="auto" w:fill="FFFFFF" w:themeFill="background1"/>
      </w:tcPr>
    </w:tblStylePr>
    <w:tblStylePr w:type="lastRow">
      <w:tblPr/>
      <w:tcPr>
        <w:tcBorders>
          <w:top w:val="single" w:sz="8" w:space="0" w:color="428D5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28D52" w:themeColor="accent6"/>
          <w:insideH w:val="nil"/>
          <w:insideV w:val="nil"/>
        </w:tcBorders>
        <w:shd w:val="clear" w:color="auto" w:fill="FFFFFF" w:themeFill="background1"/>
      </w:tcPr>
    </w:tblStylePr>
    <w:tblStylePr w:type="lastCol">
      <w:tblPr/>
      <w:tcPr>
        <w:tcBorders>
          <w:top w:val="nil"/>
          <w:left w:val="single" w:sz="8" w:space="0" w:color="428D5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E7D1" w:themeFill="accent6" w:themeFillTint="3F"/>
      </w:tcPr>
    </w:tblStylePr>
    <w:tblStylePr w:type="band1Horz">
      <w:tblPr/>
      <w:tcPr>
        <w:tcBorders>
          <w:top w:val="nil"/>
          <w:bottom w:val="nil"/>
          <w:insideH w:val="nil"/>
          <w:insideV w:val="nil"/>
        </w:tcBorders>
        <w:shd w:val="clear" w:color="auto" w:fill="CBE7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637A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637A8"/>
    <w:pPr>
      <w:spacing w:after="0" w:line="240" w:lineRule="auto"/>
    </w:pPr>
    <w:tblPr>
      <w:tblStyleRowBandSize w:val="1"/>
      <w:tblStyleColBandSize w:val="1"/>
      <w:tblBorders>
        <w:top w:val="single" w:sz="8" w:space="0" w:color="B5A3CE" w:themeColor="accent1" w:themeTint="BF"/>
        <w:left w:val="single" w:sz="8" w:space="0" w:color="B5A3CE" w:themeColor="accent1" w:themeTint="BF"/>
        <w:bottom w:val="single" w:sz="8" w:space="0" w:color="B5A3CE" w:themeColor="accent1" w:themeTint="BF"/>
        <w:right w:val="single" w:sz="8" w:space="0" w:color="B5A3CE" w:themeColor="accent1" w:themeTint="BF"/>
        <w:insideH w:val="single" w:sz="8" w:space="0" w:color="B5A3CE" w:themeColor="accent1" w:themeTint="BF"/>
      </w:tblBorders>
    </w:tblPr>
    <w:tblStylePr w:type="firstRow">
      <w:pPr>
        <w:spacing w:before="0" w:after="0" w:line="240" w:lineRule="auto"/>
      </w:pPr>
      <w:rPr>
        <w:b/>
        <w:bCs/>
        <w:color w:val="FFFFFF" w:themeColor="background1"/>
      </w:rPr>
      <w:tblPr/>
      <w:tcPr>
        <w:tcBorders>
          <w:top w:val="single" w:sz="8" w:space="0" w:color="B5A3CE" w:themeColor="accent1" w:themeTint="BF"/>
          <w:left w:val="single" w:sz="8" w:space="0" w:color="B5A3CE" w:themeColor="accent1" w:themeTint="BF"/>
          <w:bottom w:val="single" w:sz="8" w:space="0" w:color="B5A3CE" w:themeColor="accent1" w:themeTint="BF"/>
          <w:right w:val="single" w:sz="8" w:space="0" w:color="B5A3CE" w:themeColor="accent1" w:themeTint="BF"/>
          <w:insideH w:val="nil"/>
          <w:insideV w:val="nil"/>
        </w:tcBorders>
        <w:shd w:val="clear" w:color="auto" w:fill="9D85BE" w:themeFill="accent1"/>
      </w:tcPr>
    </w:tblStylePr>
    <w:tblStylePr w:type="lastRow">
      <w:pPr>
        <w:spacing w:before="0" w:after="0" w:line="240" w:lineRule="auto"/>
      </w:pPr>
      <w:rPr>
        <w:b/>
        <w:bCs/>
      </w:rPr>
      <w:tblPr/>
      <w:tcPr>
        <w:tcBorders>
          <w:top w:val="double" w:sz="6" w:space="0" w:color="B5A3CE" w:themeColor="accent1" w:themeTint="BF"/>
          <w:left w:val="single" w:sz="8" w:space="0" w:color="B5A3CE" w:themeColor="accent1" w:themeTint="BF"/>
          <w:bottom w:val="single" w:sz="8" w:space="0" w:color="B5A3CE" w:themeColor="accent1" w:themeTint="BF"/>
          <w:right w:val="single" w:sz="8" w:space="0" w:color="B5A3CE"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E0EF" w:themeFill="accent1" w:themeFillTint="3F"/>
      </w:tcPr>
    </w:tblStylePr>
    <w:tblStylePr w:type="band1Horz">
      <w:tblPr/>
      <w:tcPr>
        <w:tcBorders>
          <w:insideH w:val="nil"/>
          <w:insideV w:val="nil"/>
        </w:tcBorders>
        <w:shd w:val="clear" w:color="auto" w:fill="E6E0E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637A8"/>
    <w:pPr>
      <w:spacing w:after="0" w:line="240" w:lineRule="auto"/>
    </w:pPr>
    <w:tblPr>
      <w:tblStyleRowBandSize w:val="1"/>
      <w:tblStyleColBandSize w:val="1"/>
      <w:tblBorders>
        <w:top w:val="single" w:sz="8" w:space="0" w:color="9D9D9D" w:themeColor="accent2" w:themeTint="BF"/>
        <w:left w:val="single" w:sz="8" w:space="0" w:color="9D9D9D" w:themeColor="accent2" w:themeTint="BF"/>
        <w:bottom w:val="single" w:sz="8" w:space="0" w:color="9D9D9D" w:themeColor="accent2" w:themeTint="BF"/>
        <w:right w:val="single" w:sz="8" w:space="0" w:color="9D9D9D" w:themeColor="accent2" w:themeTint="BF"/>
        <w:insideH w:val="single" w:sz="8" w:space="0" w:color="9D9D9D" w:themeColor="accent2" w:themeTint="BF"/>
      </w:tblBorders>
    </w:tblPr>
    <w:tblStylePr w:type="firstRow">
      <w:pPr>
        <w:spacing w:before="0" w:after="0" w:line="240" w:lineRule="auto"/>
      </w:pPr>
      <w:rPr>
        <w:b/>
        <w:bCs/>
        <w:color w:val="FFFFFF" w:themeColor="background1"/>
      </w:rPr>
      <w:tblPr/>
      <w:tcPr>
        <w:tcBorders>
          <w:top w:val="single" w:sz="8" w:space="0" w:color="9D9D9D" w:themeColor="accent2" w:themeTint="BF"/>
          <w:left w:val="single" w:sz="8" w:space="0" w:color="9D9D9D" w:themeColor="accent2" w:themeTint="BF"/>
          <w:bottom w:val="single" w:sz="8" w:space="0" w:color="9D9D9D" w:themeColor="accent2" w:themeTint="BF"/>
          <w:right w:val="single" w:sz="8" w:space="0" w:color="9D9D9D" w:themeColor="accent2" w:themeTint="BF"/>
          <w:insideH w:val="nil"/>
          <w:insideV w:val="nil"/>
        </w:tcBorders>
        <w:shd w:val="clear" w:color="auto" w:fill="7D7D7D" w:themeFill="accent2"/>
      </w:tcPr>
    </w:tblStylePr>
    <w:tblStylePr w:type="lastRow">
      <w:pPr>
        <w:spacing w:before="0" w:after="0" w:line="240" w:lineRule="auto"/>
      </w:pPr>
      <w:rPr>
        <w:b/>
        <w:bCs/>
      </w:rPr>
      <w:tblPr/>
      <w:tcPr>
        <w:tcBorders>
          <w:top w:val="double" w:sz="6" w:space="0" w:color="9D9D9D" w:themeColor="accent2" w:themeTint="BF"/>
          <w:left w:val="single" w:sz="8" w:space="0" w:color="9D9D9D" w:themeColor="accent2" w:themeTint="BF"/>
          <w:bottom w:val="single" w:sz="8" w:space="0" w:color="9D9D9D" w:themeColor="accent2" w:themeTint="BF"/>
          <w:right w:val="single" w:sz="8" w:space="0" w:color="9D9D9D" w:themeColor="accent2" w:themeTint="BF"/>
          <w:insideH w:val="nil"/>
          <w:insideV w:val="nil"/>
        </w:tcBorders>
      </w:tcPr>
    </w:tblStylePr>
    <w:tblStylePr w:type="firstCol">
      <w:rPr>
        <w:b/>
        <w:bCs/>
      </w:rPr>
    </w:tblStylePr>
    <w:tblStylePr w:type="lastCol">
      <w:rPr>
        <w:b/>
        <w:bCs/>
      </w:rPr>
    </w:tblStylePr>
    <w:tblStylePr w:type="band1Vert">
      <w:tblPr/>
      <w:tcPr>
        <w:shd w:val="clear" w:color="auto" w:fill="DEDEDE" w:themeFill="accent2" w:themeFillTint="3F"/>
      </w:tcPr>
    </w:tblStylePr>
    <w:tblStylePr w:type="band1Horz">
      <w:tblPr/>
      <w:tcPr>
        <w:tcBorders>
          <w:insideH w:val="nil"/>
          <w:insideV w:val="nil"/>
        </w:tcBorders>
        <w:shd w:val="clear" w:color="auto" w:fill="DEDED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637A8"/>
    <w:pPr>
      <w:spacing w:after="0" w:line="240" w:lineRule="auto"/>
    </w:pPr>
    <w:tblPr>
      <w:tblStyleRowBandSize w:val="1"/>
      <w:tblStyleColBandSize w:val="1"/>
      <w:tblBorders>
        <w:top w:val="single" w:sz="8" w:space="0" w:color="D5D5D5" w:themeColor="accent3" w:themeTint="BF"/>
        <w:left w:val="single" w:sz="8" w:space="0" w:color="D5D5D5" w:themeColor="accent3" w:themeTint="BF"/>
        <w:bottom w:val="single" w:sz="8" w:space="0" w:color="D5D5D5" w:themeColor="accent3" w:themeTint="BF"/>
        <w:right w:val="single" w:sz="8" w:space="0" w:color="D5D5D5" w:themeColor="accent3" w:themeTint="BF"/>
        <w:insideH w:val="single" w:sz="8" w:space="0" w:color="D5D5D5" w:themeColor="accent3" w:themeTint="BF"/>
      </w:tblBorders>
    </w:tblPr>
    <w:tblStylePr w:type="firstRow">
      <w:pPr>
        <w:spacing w:before="0" w:after="0" w:line="240" w:lineRule="auto"/>
      </w:pPr>
      <w:rPr>
        <w:b/>
        <w:bCs/>
        <w:color w:val="FFFFFF" w:themeColor="background1"/>
      </w:rPr>
      <w:tblPr/>
      <w:tcPr>
        <w:tcBorders>
          <w:top w:val="single" w:sz="8" w:space="0" w:color="D5D5D5" w:themeColor="accent3" w:themeTint="BF"/>
          <w:left w:val="single" w:sz="8" w:space="0" w:color="D5D5D5" w:themeColor="accent3" w:themeTint="BF"/>
          <w:bottom w:val="single" w:sz="8" w:space="0" w:color="D5D5D5" w:themeColor="accent3" w:themeTint="BF"/>
          <w:right w:val="single" w:sz="8" w:space="0" w:color="D5D5D5" w:themeColor="accent3" w:themeTint="BF"/>
          <w:insideH w:val="nil"/>
          <w:insideV w:val="nil"/>
        </w:tcBorders>
        <w:shd w:val="clear" w:color="auto" w:fill="C8C8C8" w:themeFill="accent3"/>
      </w:tcPr>
    </w:tblStylePr>
    <w:tblStylePr w:type="lastRow">
      <w:pPr>
        <w:spacing w:before="0" w:after="0" w:line="240" w:lineRule="auto"/>
      </w:pPr>
      <w:rPr>
        <w:b/>
        <w:bCs/>
      </w:rPr>
      <w:tblPr/>
      <w:tcPr>
        <w:tcBorders>
          <w:top w:val="double" w:sz="6" w:space="0" w:color="D5D5D5" w:themeColor="accent3" w:themeTint="BF"/>
          <w:left w:val="single" w:sz="8" w:space="0" w:color="D5D5D5" w:themeColor="accent3" w:themeTint="BF"/>
          <w:bottom w:val="single" w:sz="8" w:space="0" w:color="D5D5D5" w:themeColor="accent3" w:themeTint="BF"/>
          <w:right w:val="single" w:sz="8" w:space="0" w:color="D5D5D5" w:themeColor="accent3" w:themeTint="BF"/>
          <w:insideH w:val="nil"/>
          <w:insideV w:val="nil"/>
        </w:tcBorders>
      </w:tcPr>
    </w:tblStylePr>
    <w:tblStylePr w:type="firstCol">
      <w:rPr>
        <w:b/>
        <w:bCs/>
      </w:rPr>
    </w:tblStylePr>
    <w:tblStylePr w:type="lastCol">
      <w:rPr>
        <w:b/>
        <w:bCs/>
      </w:rPr>
    </w:tblStylePr>
    <w:tblStylePr w:type="band1Vert">
      <w:tblPr/>
      <w:tcPr>
        <w:shd w:val="clear" w:color="auto" w:fill="F1F1F1" w:themeFill="accent3" w:themeFillTint="3F"/>
      </w:tcPr>
    </w:tblStylePr>
    <w:tblStylePr w:type="band1Horz">
      <w:tblPr/>
      <w:tcPr>
        <w:tcBorders>
          <w:insideH w:val="nil"/>
          <w:insideV w:val="nil"/>
        </w:tcBorders>
        <w:shd w:val="clear" w:color="auto" w:fill="F1F1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637A8"/>
    <w:pPr>
      <w:spacing w:after="0" w:line="240" w:lineRule="auto"/>
    </w:pPr>
    <w:tblPr>
      <w:tblStyleRowBandSize w:val="1"/>
      <w:tblStyleColBandSize w:val="1"/>
      <w:tblBorders>
        <w:top w:val="single" w:sz="8" w:space="0" w:color="00A4F7" w:themeColor="accent4" w:themeTint="BF"/>
        <w:left w:val="single" w:sz="8" w:space="0" w:color="00A4F7" w:themeColor="accent4" w:themeTint="BF"/>
        <w:bottom w:val="single" w:sz="8" w:space="0" w:color="00A4F7" w:themeColor="accent4" w:themeTint="BF"/>
        <w:right w:val="single" w:sz="8" w:space="0" w:color="00A4F7" w:themeColor="accent4" w:themeTint="BF"/>
        <w:insideH w:val="single" w:sz="8" w:space="0" w:color="00A4F7" w:themeColor="accent4" w:themeTint="BF"/>
      </w:tblBorders>
    </w:tblPr>
    <w:tblStylePr w:type="firstRow">
      <w:pPr>
        <w:spacing w:before="0" w:after="0" w:line="240" w:lineRule="auto"/>
      </w:pPr>
      <w:rPr>
        <w:b/>
        <w:bCs/>
        <w:color w:val="FFFFFF" w:themeColor="background1"/>
      </w:rPr>
      <w:tblPr/>
      <w:tcPr>
        <w:tcBorders>
          <w:top w:val="single" w:sz="8" w:space="0" w:color="00A4F7" w:themeColor="accent4" w:themeTint="BF"/>
          <w:left w:val="single" w:sz="8" w:space="0" w:color="00A4F7" w:themeColor="accent4" w:themeTint="BF"/>
          <w:bottom w:val="single" w:sz="8" w:space="0" w:color="00A4F7" w:themeColor="accent4" w:themeTint="BF"/>
          <w:right w:val="single" w:sz="8" w:space="0" w:color="00A4F7" w:themeColor="accent4" w:themeTint="BF"/>
          <w:insideH w:val="nil"/>
          <w:insideV w:val="nil"/>
        </w:tcBorders>
        <w:shd w:val="clear" w:color="auto" w:fill="006A9F" w:themeFill="accent4"/>
      </w:tcPr>
    </w:tblStylePr>
    <w:tblStylePr w:type="lastRow">
      <w:pPr>
        <w:spacing w:before="0" w:after="0" w:line="240" w:lineRule="auto"/>
      </w:pPr>
      <w:rPr>
        <w:b/>
        <w:bCs/>
      </w:rPr>
      <w:tblPr/>
      <w:tcPr>
        <w:tcBorders>
          <w:top w:val="double" w:sz="6" w:space="0" w:color="00A4F7" w:themeColor="accent4" w:themeTint="BF"/>
          <w:left w:val="single" w:sz="8" w:space="0" w:color="00A4F7" w:themeColor="accent4" w:themeTint="BF"/>
          <w:bottom w:val="single" w:sz="8" w:space="0" w:color="00A4F7" w:themeColor="accent4" w:themeTint="BF"/>
          <w:right w:val="single" w:sz="8" w:space="0" w:color="00A4F7" w:themeColor="accent4" w:themeTint="BF"/>
          <w:insideH w:val="nil"/>
          <w:insideV w:val="nil"/>
        </w:tcBorders>
      </w:tcPr>
    </w:tblStylePr>
    <w:tblStylePr w:type="firstCol">
      <w:rPr>
        <w:b/>
        <w:bCs/>
      </w:rPr>
    </w:tblStylePr>
    <w:tblStylePr w:type="lastCol">
      <w:rPr>
        <w:b/>
        <w:bCs/>
      </w:rPr>
    </w:tblStylePr>
    <w:tblStylePr w:type="band1Vert">
      <w:tblPr/>
      <w:tcPr>
        <w:shd w:val="clear" w:color="auto" w:fill="A8E2FF" w:themeFill="accent4" w:themeFillTint="3F"/>
      </w:tcPr>
    </w:tblStylePr>
    <w:tblStylePr w:type="band1Horz">
      <w:tblPr/>
      <w:tcPr>
        <w:tcBorders>
          <w:insideH w:val="nil"/>
          <w:insideV w:val="nil"/>
        </w:tcBorders>
        <w:shd w:val="clear" w:color="auto" w:fill="A8E2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637A8"/>
    <w:pPr>
      <w:spacing w:after="0" w:line="240" w:lineRule="auto"/>
    </w:pPr>
    <w:tblPr>
      <w:tblStyleRowBandSize w:val="1"/>
      <w:tblStyleColBandSize w:val="1"/>
      <w:tblBorders>
        <w:top w:val="single" w:sz="8" w:space="0" w:color="9CCDE0" w:themeColor="accent5" w:themeTint="BF"/>
        <w:left w:val="single" w:sz="8" w:space="0" w:color="9CCDE0" w:themeColor="accent5" w:themeTint="BF"/>
        <w:bottom w:val="single" w:sz="8" w:space="0" w:color="9CCDE0" w:themeColor="accent5" w:themeTint="BF"/>
        <w:right w:val="single" w:sz="8" w:space="0" w:color="9CCDE0" w:themeColor="accent5" w:themeTint="BF"/>
        <w:insideH w:val="single" w:sz="8" w:space="0" w:color="9CCDE0" w:themeColor="accent5" w:themeTint="BF"/>
      </w:tblBorders>
    </w:tblPr>
    <w:tblStylePr w:type="firstRow">
      <w:pPr>
        <w:spacing w:before="0" w:after="0" w:line="240" w:lineRule="auto"/>
      </w:pPr>
      <w:rPr>
        <w:b/>
        <w:bCs/>
        <w:color w:val="FFFFFF" w:themeColor="background1"/>
      </w:rPr>
      <w:tblPr/>
      <w:tcPr>
        <w:tcBorders>
          <w:top w:val="single" w:sz="8" w:space="0" w:color="9CCDE0" w:themeColor="accent5" w:themeTint="BF"/>
          <w:left w:val="single" w:sz="8" w:space="0" w:color="9CCDE0" w:themeColor="accent5" w:themeTint="BF"/>
          <w:bottom w:val="single" w:sz="8" w:space="0" w:color="9CCDE0" w:themeColor="accent5" w:themeTint="BF"/>
          <w:right w:val="single" w:sz="8" w:space="0" w:color="9CCDE0" w:themeColor="accent5" w:themeTint="BF"/>
          <w:insideH w:val="nil"/>
          <w:insideV w:val="nil"/>
        </w:tcBorders>
        <w:shd w:val="clear" w:color="auto" w:fill="7BBDD6" w:themeFill="accent5"/>
      </w:tcPr>
    </w:tblStylePr>
    <w:tblStylePr w:type="lastRow">
      <w:pPr>
        <w:spacing w:before="0" w:after="0" w:line="240" w:lineRule="auto"/>
      </w:pPr>
      <w:rPr>
        <w:b/>
        <w:bCs/>
      </w:rPr>
      <w:tblPr/>
      <w:tcPr>
        <w:tcBorders>
          <w:top w:val="double" w:sz="6" w:space="0" w:color="9CCDE0" w:themeColor="accent5" w:themeTint="BF"/>
          <w:left w:val="single" w:sz="8" w:space="0" w:color="9CCDE0" w:themeColor="accent5" w:themeTint="BF"/>
          <w:bottom w:val="single" w:sz="8" w:space="0" w:color="9CCDE0" w:themeColor="accent5" w:themeTint="BF"/>
          <w:right w:val="single" w:sz="8" w:space="0" w:color="9CCDE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EEF4" w:themeFill="accent5" w:themeFillTint="3F"/>
      </w:tcPr>
    </w:tblStylePr>
    <w:tblStylePr w:type="band1Horz">
      <w:tblPr/>
      <w:tcPr>
        <w:tcBorders>
          <w:insideH w:val="nil"/>
          <w:insideV w:val="nil"/>
        </w:tcBorders>
        <w:shd w:val="clear" w:color="auto" w:fill="DEEE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637A8"/>
    <w:pPr>
      <w:spacing w:after="0" w:line="240" w:lineRule="auto"/>
    </w:pPr>
    <w:tblPr>
      <w:tblStyleRowBandSize w:val="1"/>
      <w:tblStyleColBandSize w:val="1"/>
      <w:tblBorders>
        <w:top w:val="single" w:sz="8" w:space="0" w:color="64B675" w:themeColor="accent6" w:themeTint="BF"/>
        <w:left w:val="single" w:sz="8" w:space="0" w:color="64B675" w:themeColor="accent6" w:themeTint="BF"/>
        <w:bottom w:val="single" w:sz="8" w:space="0" w:color="64B675" w:themeColor="accent6" w:themeTint="BF"/>
        <w:right w:val="single" w:sz="8" w:space="0" w:color="64B675" w:themeColor="accent6" w:themeTint="BF"/>
        <w:insideH w:val="single" w:sz="8" w:space="0" w:color="64B675" w:themeColor="accent6" w:themeTint="BF"/>
      </w:tblBorders>
    </w:tblPr>
    <w:tblStylePr w:type="firstRow">
      <w:pPr>
        <w:spacing w:before="0" w:after="0" w:line="240" w:lineRule="auto"/>
      </w:pPr>
      <w:rPr>
        <w:b/>
        <w:bCs/>
        <w:color w:val="FFFFFF" w:themeColor="background1"/>
      </w:rPr>
      <w:tblPr/>
      <w:tcPr>
        <w:tcBorders>
          <w:top w:val="single" w:sz="8" w:space="0" w:color="64B675" w:themeColor="accent6" w:themeTint="BF"/>
          <w:left w:val="single" w:sz="8" w:space="0" w:color="64B675" w:themeColor="accent6" w:themeTint="BF"/>
          <w:bottom w:val="single" w:sz="8" w:space="0" w:color="64B675" w:themeColor="accent6" w:themeTint="BF"/>
          <w:right w:val="single" w:sz="8" w:space="0" w:color="64B675" w:themeColor="accent6" w:themeTint="BF"/>
          <w:insideH w:val="nil"/>
          <w:insideV w:val="nil"/>
        </w:tcBorders>
        <w:shd w:val="clear" w:color="auto" w:fill="428D52" w:themeFill="accent6"/>
      </w:tcPr>
    </w:tblStylePr>
    <w:tblStylePr w:type="lastRow">
      <w:pPr>
        <w:spacing w:before="0" w:after="0" w:line="240" w:lineRule="auto"/>
      </w:pPr>
      <w:rPr>
        <w:b/>
        <w:bCs/>
      </w:rPr>
      <w:tblPr/>
      <w:tcPr>
        <w:tcBorders>
          <w:top w:val="double" w:sz="6" w:space="0" w:color="64B675" w:themeColor="accent6" w:themeTint="BF"/>
          <w:left w:val="single" w:sz="8" w:space="0" w:color="64B675" w:themeColor="accent6" w:themeTint="BF"/>
          <w:bottom w:val="single" w:sz="8" w:space="0" w:color="64B675" w:themeColor="accent6" w:themeTint="BF"/>
          <w:right w:val="single" w:sz="8" w:space="0" w:color="64B675" w:themeColor="accent6" w:themeTint="BF"/>
          <w:insideH w:val="nil"/>
          <w:insideV w:val="nil"/>
        </w:tcBorders>
      </w:tcPr>
    </w:tblStylePr>
    <w:tblStylePr w:type="firstCol">
      <w:rPr>
        <w:b/>
        <w:bCs/>
      </w:rPr>
    </w:tblStylePr>
    <w:tblStylePr w:type="lastCol">
      <w:rPr>
        <w:b/>
        <w:bCs/>
      </w:rPr>
    </w:tblStylePr>
    <w:tblStylePr w:type="band1Vert">
      <w:tblPr/>
      <w:tcPr>
        <w:shd w:val="clear" w:color="auto" w:fill="CBE7D1" w:themeFill="accent6" w:themeFillTint="3F"/>
      </w:tcPr>
    </w:tblStylePr>
    <w:tblStylePr w:type="band1Horz">
      <w:tblPr/>
      <w:tcPr>
        <w:tcBorders>
          <w:insideH w:val="nil"/>
          <w:insideV w:val="nil"/>
        </w:tcBorders>
        <w:shd w:val="clear" w:color="auto" w:fill="CBE7D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85B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85BE" w:themeFill="accent1"/>
      </w:tcPr>
    </w:tblStylePr>
    <w:tblStylePr w:type="lastCol">
      <w:rPr>
        <w:b/>
        <w:bCs/>
        <w:color w:val="FFFFFF" w:themeColor="background1"/>
      </w:rPr>
      <w:tblPr/>
      <w:tcPr>
        <w:tcBorders>
          <w:left w:val="nil"/>
          <w:right w:val="nil"/>
          <w:insideH w:val="nil"/>
          <w:insideV w:val="nil"/>
        </w:tcBorders>
        <w:shd w:val="clear" w:color="auto" w:fill="9D85B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D7D7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D7D7D" w:themeFill="accent2"/>
      </w:tcPr>
    </w:tblStylePr>
    <w:tblStylePr w:type="lastCol">
      <w:rPr>
        <w:b/>
        <w:bCs/>
        <w:color w:val="FFFFFF" w:themeColor="background1"/>
      </w:rPr>
      <w:tblPr/>
      <w:tcPr>
        <w:tcBorders>
          <w:left w:val="nil"/>
          <w:right w:val="nil"/>
          <w:insideH w:val="nil"/>
          <w:insideV w:val="nil"/>
        </w:tcBorders>
        <w:shd w:val="clear" w:color="auto" w:fill="7D7D7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C8C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8C8C8" w:themeFill="accent3"/>
      </w:tcPr>
    </w:tblStylePr>
    <w:tblStylePr w:type="lastCol">
      <w:rPr>
        <w:b/>
        <w:bCs/>
        <w:color w:val="FFFFFF" w:themeColor="background1"/>
      </w:rPr>
      <w:tblPr/>
      <w:tcPr>
        <w:tcBorders>
          <w:left w:val="nil"/>
          <w:right w:val="nil"/>
          <w:insideH w:val="nil"/>
          <w:insideV w:val="nil"/>
        </w:tcBorders>
        <w:shd w:val="clear" w:color="auto" w:fill="C8C8C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A9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A9F" w:themeFill="accent4"/>
      </w:tcPr>
    </w:tblStylePr>
    <w:tblStylePr w:type="lastCol">
      <w:rPr>
        <w:b/>
        <w:bCs/>
        <w:color w:val="FFFFFF" w:themeColor="background1"/>
      </w:rPr>
      <w:tblPr/>
      <w:tcPr>
        <w:tcBorders>
          <w:left w:val="nil"/>
          <w:right w:val="nil"/>
          <w:insideH w:val="nil"/>
          <w:insideV w:val="nil"/>
        </w:tcBorders>
        <w:shd w:val="clear" w:color="auto" w:fill="006A9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BBDD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BBDD6" w:themeFill="accent5"/>
      </w:tcPr>
    </w:tblStylePr>
    <w:tblStylePr w:type="lastCol">
      <w:rPr>
        <w:b/>
        <w:bCs/>
        <w:color w:val="FFFFFF" w:themeColor="background1"/>
      </w:rPr>
      <w:tblPr/>
      <w:tcPr>
        <w:tcBorders>
          <w:left w:val="nil"/>
          <w:right w:val="nil"/>
          <w:insideH w:val="nil"/>
          <w:insideV w:val="nil"/>
        </w:tcBorders>
        <w:shd w:val="clear" w:color="auto" w:fill="7BBDD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28D5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28D52" w:themeFill="accent6"/>
      </w:tcPr>
    </w:tblStylePr>
    <w:tblStylePr w:type="lastCol">
      <w:rPr>
        <w:b/>
        <w:bCs/>
        <w:color w:val="FFFFFF" w:themeColor="background1"/>
      </w:rPr>
      <w:tblPr/>
      <w:tcPr>
        <w:tcBorders>
          <w:left w:val="nil"/>
          <w:right w:val="nil"/>
          <w:insideH w:val="nil"/>
          <w:insideV w:val="nil"/>
        </w:tcBorders>
        <w:shd w:val="clear" w:color="auto" w:fill="428D5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semiHidden/>
    <w:unhideWhenUsed/>
    <w:rsid w:val="009637A8"/>
    <w:rPr>
      <w:color w:val="2B579A"/>
      <w:shd w:val="clear" w:color="auto" w:fill="E1DFDD"/>
    </w:rPr>
  </w:style>
  <w:style w:type="paragraph" w:styleId="MessageHeader">
    <w:name w:val="Message Header"/>
    <w:basedOn w:val="Normal"/>
    <w:link w:val="MessageHeaderChar"/>
    <w:uiPriority w:val="99"/>
    <w:semiHidden/>
    <w:unhideWhenUsed/>
    <w:rsid w:val="009637A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sz w:val="24"/>
      <w:szCs w:val="24"/>
    </w:rPr>
  </w:style>
  <w:style w:type="character" w:customStyle="1" w:styleId="MessageHeaderChar">
    <w:name w:val="Message Header Char"/>
    <w:basedOn w:val="DefaultParagraphFont"/>
    <w:link w:val="MessageHeader"/>
    <w:uiPriority w:val="99"/>
    <w:semiHidden/>
    <w:rsid w:val="009637A8"/>
    <w:rPr>
      <w:rFonts w:ascii="Arial" w:eastAsiaTheme="majorEastAsia" w:hAnsi="Arial" w:cs="Arial"/>
      <w:sz w:val="24"/>
      <w:szCs w:val="24"/>
      <w:shd w:val="pct20" w:color="auto" w:fill="auto"/>
    </w:rPr>
  </w:style>
  <w:style w:type="paragraph" w:styleId="NoSpacing">
    <w:name w:val="No Spacing"/>
    <w:uiPriority w:val="1"/>
    <w:qFormat/>
    <w:rsid w:val="009637A8"/>
    <w:pPr>
      <w:spacing w:after="0" w:line="240" w:lineRule="auto"/>
    </w:pPr>
    <w:rPr>
      <w:rFonts w:ascii="Arial Narrow" w:hAnsi="Arial Narrow" w:cs="Arial"/>
    </w:rPr>
  </w:style>
  <w:style w:type="paragraph" w:styleId="NormalWeb">
    <w:name w:val="Normal (Web)"/>
    <w:basedOn w:val="Normal"/>
    <w:uiPriority w:val="99"/>
    <w:semiHidden/>
    <w:unhideWhenUsed/>
    <w:rsid w:val="009637A8"/>
    <w:pPr>
      <w:spacing w:after="160" w:line="259" w:lineRule="auto"/>
    </w:pPr>
    <w:rPr>
      <w:sz w:val="24"/>
      <w:szCs w:val="24"/>
    </w:rPr>
  </w:style>
  <w:style w:type="paragraph" w:styleId="NormalIndent">
    <w:name w:val="Normal Indent"/>
    <w:basedOn w:val="Normal"/>
    <w:uiPriority w:val="99"/>
    <w:semiHidden/>
    <w:unhideWhenUsed/>
    <w:rsid w:val="009637A8"/>
    <w:pPr>
      <w:spacing w:after="160" w:line="259" w:lineRule="auto"/>
      <w:ind w:left="720"/>
    </w:pPr>
  </w:style>
  <w:style w:type="paragraph" w:styleId="NoteHeading">
    <w:name w:val="Note Heading"/>
    <w:basedOn w:val="Normal"/>
    <w:next w:val="Normal"/>
    <w:link w:val="NoteHeadingChar"/>
    <w:uiPriority w:val="99"/>
    <w:semiHidden/>
    <w:unhideWhenUsed/>
    <w:rsid w:val="009637A8"/>
    <w:pPr>
      <w:spacing w:after="0"/>
    </w:pPr>
  </w:style>
  <w:style w:type="character" w:customStyle="1" w:styleId="NoteHeadingChar">
    <w:name w:val="Note Heading Char"/>
    <w:basedOn w:val="DefaultParagraphFont"/>
    <w:link w:val="NoteHeading"/>
    <w:uiPriority w:val="99"/>
    <w:semiHidden/>
    <w:rsid w:val="009637A8"/>
    <w:rPr>
      <w:rFonts w:ascii="Arial" w:hAnsi="Arial" w:cs="Arial"/>
    </w:rPr>
  </w:style>
  <w:style w:type="character" w:styleId="PageNumber">
    <w:name w:val="page number"/>
    <w:basedOn w:val="DefaultParagraphFont"/>
    <w:uiPriority w:val="99"/>
    <w:semiHidden/>
    <w:unhideWhenUsed/>
    <w:rsid w:val="009637A8"/>
  </w:style>
  <w:style w:type="character" w:styleId="PlaceholderText">
    <w:name w:val="Placeholder Text"/>
    <w:basedOn w:val="DefaultParagraphFont"/>
    <w:uiPriority w:val="99"/>
    <w:semiHidden/>
    <w:rsid w:val="009637A8"/>
    <w:rPr>
      <w:color w:val="808080"/>
    </w:rPr>
  </w:style>
  <w:style w:type="table" w:styleId="PlainTable1">
    <w:name w:val="Plain Table 1"/>
    <w:basedOn w:val="TableNormal"/>
    <w:uiPriority w:val="41"/>
    <w:rsid w:val="009637A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637A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637A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637A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637A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637A8"/>
    <w:pPr>
      <w:spacing w:after="0"/>
    </w:pPr>
    <w:rPr>
      <w:sz w:val="21"/>
      <w:szCs w:val="21"/>
    </w:rPr>
  </w:style>
  <w:style w:type="character" w:customStyle="1" w:styleId="PlainTextChar">
    <w:name w:val="Plain Text Char"/>
    <w:basedOn w:val="DefaultParagraphFont"/>
    <w:link w:val="PlainText"/>
    <w:uiPriority w:val="99"/>
    <w:semiHidden/>
    <w:rsid w:val="009637A8"/>
    <w:rPr>
      <w:rFonts w:ascii="Arial" w:hAnsi="Arial" w:cs="Arial"/>
      <w:sz w:val="21"/>
      <w:szCs w:val="21"/>
    </w:rPr>
  </w:style>
  <w:style w:type="paragraph" w:styleId="Quote">
    <w:name w:val="Quote"/>
    <w:basedOn w:val="Normal"/>
    <w:next w:val="Normal"/>
    <w:link w:val="QuoteChar"/>
    <w:uiPriority w:val="29"/>
    <w:qFormat/>
    <w:rsid w:val="0020185D"/>
    <w:pPr>
      <w:spacing w:before="120" w:after="120"/>
      <w:ind w:left="420"/>
    </w:pPr>
    <w:rPr>
      <w:rFonts w:cstheme="minorBidi"/>
      <w:i/>
      <w:iCs/>
      <w:color w:val="4D4C4D"/>
    </w:rPr>
  </w:style>
  <w:style w:type="character" w:customStyle="1" w:styleId="QuoteChar">
    <w:name w:val="Quote Char"/>
    <w:basedOn w:val="DefaultParagraphFont"/>
    <w:link w:val="Quote"/>
    <w:uiPriority w:val="29"/>
    <w:rsid w:val="0020185D"/>
    <w:rPr>
      <w:rFonts w:ascii="Arial Narrow" w:hAnsi="Arial Narrow"/>
      <w:i/>
      <w:iCs/>
      <w:color w:val="4D4C4D"/>
    </w:rPr>
  </w:style>
  <w:style w:type="paragraph" w:styleId="Salutation">
    <w:name w:val="Salutation"/>
    <w:basedOn w:val="Normal"/>
    <w:next w:val="Normal"/>
    <w:link w:val="SalutationChar"/>
    <w:uiPriority w:val="99"/>
    <w:semiHidden/>
    <w:unhideWhenUsed/>
    <w:rsid w:val="009637A8"/>
    <w:pPr>
      <w:spacing w:after="160" w:line="259" w:lineRule="auto"/>
    </w:pPr>
  </w:style>
  <w:style w:type="character" w:customStyle="1" w:styleId="SalutationChar">
    <w:name w:val="Salutation Char"/>
    <w:basedOn w:val="DefaultParagraphFont"/>
    <w:link w:val="Salutation"/>
    <w:uiPriority w:val="99"/>
    <w:semiHidden/>
    <w:rsid w:val="009637A8"/>
    <w:rPr>
      <w:rFonts w:ascii="Arial" w:hAnsi="Arial" w:cs="Arial"/>
    </w:rPr>
  </w:style>
  <w:style w:type="paragraph" w:styleId="Signature">
    <w:name w:val="Signature"/>
    <w:basedOn w:val="Normal"/>
    <w:link w:val="SignatureChar"/>
    <w:uiPriority w:val="99"/>
    <w:semiHidden/>
    <w:unhideWhenUsed/>
    <w:rsid w:val="009637A8"/>
    <w:pPr>
      <w:spacing w:after="0"/>
      <w:ind w:left="4252"/>
    </w:pPr>
  </w:style>
  <w:style w:type="character" w:customStyle="1" w:styleId="SignatureChar">
    <w:name w:val="Signature Char"/>
    <w:basedOn w:val="DefaultParagraphFont"/>
    <w:link w:val="Signature"/>
    <w:uiPriority w:val="99"/>
    <w:semiHidden/>
    <w:rsid w:val="009637A8"/>
    <w:rPr>
      <w:rFonts w:ascii="Arial" w:hAnsi="Arial" w:cs="Arial"/>
    </w:rPr>
  </w:style>
  <w:style w:type="character" w:styleId="SmartHyperlink">
    <w:name w:val="Smart Hyperlink"/>
    <w:basedOn w:val="DefaultParagraphFont"/>
    <w:uiPriority w:val="99"/>
    <w:semiHidden/>
    <w:unhideWhenUsed/>
    <w:rsid w:val="009637A8"/>
    <w:rPr>
      <w:u w:val="dotted"/>
    </w:rPr>
  </w:style>
  <w:style w:type="character" w:styleId="SmartLink">
    <w:name w:val="Smart Link"/>
    <w:basedOn w:val="DefaultParagraphFont"/>
    <w:uiPriority w:val="99"/>
    <w:semiHidden/>
    <w:unhideWhenUsed/>
    <w:rsid w:val="009637A8"/>
    <w:rPr>
      <w:color w:val="0000FF"/>
      <w:u w:val="single"/>
      <w:shd w:val="clear" w:color="auto" w:fill="F3F2F1"/>
    </w:rPr>
  </w:style>
  <w:style w:type="character" w:styleId="Strong">
    <w:name w:val="Strong"/>
    <w:basedOn w:val="DefaultParagraphFont"/>
    <w:uiPriority w:val="22"/>
    <w:qFormat/>
    <w:rsid w:val="009637A8"/>
    <w:rPr>
      <w:b/>
      <w:bCs/>
    </w:rPr>
  </w:style>
  <w:style w:type="paragraph" w:styleId="Subtitle">
    <w:name w:val="Subtitle"/>
    <w:basedOn w:val="Normal"/>
    <w:next w:val="Normal"/>
    <w:link w:val="SubtitleChar"/>
    <w:uiPriority w:val="11"/>
    <w:qFormat/>
    <w:rsid w:val="009637A8"/>
    <w:pPr>
      <w:numPr>
        <w:ilvl w:val="1"/>
      </w:numPr>
      <w:spacing w:after="160" w:line="259"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637A8"/>
    <w:rPr>
      <w:rFonts w:ascii="Arial" w:eastAsiaTheme="minorEastAsia" w:hAnsi="Arial" w:cs="Arial"/>
      <w:color w:val="5A5A5A" w:themeColor="text1" w:themeTint="A5"/>
      <w:spacing w:val="15"/>
    </w:rPr>
  </w:style>
  <w:style w:type="character" w:styleId="SubtleEmphasis">
    <w:name w:val="Subtle Emphasis"/>
    <w:basedOn w:val="DefaultParagraphFont"/>
    <w:uiPriority w:val="19"/>
    <w:qFormat/>
    <w:rsid w:val="009637A8"/>
    <w:rPr>
      <w:i/>
      <w:iCs/>
      <w:color w:val="404040" w:themeColor="text1" w:themeTint="BF"/>
    </w:rPr>
  </w:style>
  <w:style w:type="character" w:styleId="SubtleReference">
    <w:name w:val="Subtle Reference"/>
    <w:basedOn w:val="DefaultParagraphFont"/>
    <w:uiPriority w:val="31"/>
    <w:qFormat/>
    <w:rsid w:val="009637A8"/>
    <w:rPr>
      <w:smallCaps/>
      <w:color w:val="5A5A5A" w:themeColor="text1" w:themeTint="A5"/>
    </w:rPr>
  </w:style>
  <w:style w:type="table" w:styleId="Table3Deffects1">
    <w:name w:val="Table 3D effects 1"/>
    <w:basedOn w:val="TableNormal"/>
    <w:uiPriority w:val="99"/>
    <w:semiHidden/>
    <w:unhideWhenUsed/>
    <w:rsid w:val="009637A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637A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637A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637A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637A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637A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637A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uiPriority w:val="99"/>
    <w:semiHidden/>
    <w:unhideWhenUsed/>
    <w:rsid w:val="009637A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uiPriority w:val="99"/>
    <w:semiHidden/>
    <w:unhideWhenUsed/>
    <w:rsid w:val="009637A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uiPriority w:val="99"/>
    <w:semiHidden/>
    <w:unhideWhenUsed/>
    <w:rsid w:val="009637A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637A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637A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637A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637A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637A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637A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637A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9637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9637A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637A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637A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637A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637A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637A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637A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637A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637A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637A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637A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637A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637A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637A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637A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637A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637A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unhideWhenUsed/>
    <w:rsid w:val="007A77EC"/>
    <w:pPr>
      <w:tabs>
        <w:tab w:val="right" w:pos="7643"/>
      </w:tabs>
      <w:spacing w:after="0" w:line="259" w:lineRule="auto"/>
      <w:ind w:left="1164" w:right="851" w:hanging="1164"/>
    </w:pPr>
  </w:style>
  <w:style w:type="paragraph" w:styleId="TableofFigures">
    <w:name w:val="table of figures"/>
    <w:basedOn w:val="Normal"/>
    <w:next w:val="Normal"/>
    <w:uiPriority w:val="99"/>
    <w:unhideWhenUsed/>
    <w:rsid w:val="00B9265D"/>
    <w:pPr>
      <w:tabs>
        <w:tab w:val="right" w:pos="7643"/>
      </w:tabs>
      <w:spacing w:before="0" w:after="0" w:line="260" w:lineRule="exact"/>
      <w:ind w:left="1123" w:right="851" w:hanging="1123"/>
    </w:pPr>
  </w:style>
  <w:style w:type="table" w:styleId="TableProfessional">
    <w:name w:val="Table Professional"/>
    <w:basedOn w:val="TableNormal"/>
    <w:uiPriority w:val="99"/>
    <w:semiHidden/>
    <w:unhideWhenUsed/>
    <w:rsid w:val="009637A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637A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637A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637A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637A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637A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637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637A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637A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637A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9637A8"/>
    <w:pPr>
      <w:spacing w:after="0"/>
      <w:contextualSpacing/>
    </w:pPr>
    <w:rPr>
      <w:rFonts w:eastAsiaTheme="majorEastAsia"/>
      <w:spacing w:val="-10"/>
      <w:kern w:val="28"/>
      <w:sz w:val="56"/>
      <w:szCs w:val="56"/>
    </w:rPr>
  </w:style>
  <w:style w:type="character" w:customStyle="1" w:styleId="TitleChar">
    <w:name w:val="Title Char"/>
    <w:basedOn w:val="DefaultParagraphFont"/>
    <w:link w:val="Title"/>
    <w:uiPriority w:val="10"/>
    <w:rsid w:val="009637A8"/>
    <w:rPr>
      <w:rFonts w:ascii="Arial" w:eastAsiaTheme="majorEastAsia" w:hAnsi="Arial" w:cs="Arial"/>
      <w:spacing w:val="-10"/>
      <w:kern w:val="28"/>
      <w:sz w:val="56"/>
      <w:szCs w:val="56"/>
    </w:rPr>
  </w:style>
  <w:style w:type="paragraph" w:styleId="TOAHeading">
    <w:name w:val="toa heading"/>
    <w:basedOn w:val="Normal"/>
    <w:next w:val="Normal"/>
    <w:uiPriority w:val="99"/>
    <w:semiHidden/>
    <w:unhideWhenUsed/>
    <w:rsid w:val="009637A8"/>
    <w:pPr>
      <w:spacing w:before="120" w:after="160" w:line="259" w:lineRule="auto"/>
    </w:pPr>
    <w:rPr>
      <w:rFonts w:eastAsiaTheme="majorEastAsia"/>
      <w:b/>
      <w:bCs/>
      <w:sz w:val="24"/>
      <w:szCs w:val="24"/>
    </w:rPr>
  </w:style>
  <w:style w:type="paragraph" w:styleId="TOC1">
    <w:name w:val="toc 1"/>
    <w:basedOn w:val="Normal"/>
    <w:next w:val="Normal"/>
    <w:uiPriority w:val="39"/>
    <w:rsid w:val="00C62B89"/>
    <w:pPr>
      <w:spacing w:before="240" w:after="120"/>
    </w:pPr>
    <w:rPr>
      <w:rFonts w:asciiTheme="minorHAnsi" w:hAnsiTheme="minorHAnsi"/>
      <w:b/>
      <w:bCs/>
      <w:sz w:val="20"/>
      <w:szCs w:val="20"/>
    </w:rPr>
  </w:style>
  <w:style w:type="paragraph" w:styleId="TOC2">
    <w:name w:val="toc 2"/>
    <w:basedOn w:val="Normal"/>
    <w:next w:val="Normal"/>
    <w:uiPriority w:val="39"/>
    <w:rsid w:val="00B9265D"/>
    <w:pPr>
      <w:spacing w:before="120" w:after="0"/>
      <w:ind w:left="220"/>
    </w:pPr>
    <w:rPr>
      <w:rFonts w:asciiTheme="minorHAnsi" w:hAnsiTheme="minorHAnsi"/>
      <w:i/>
      <w:iCs/>
      <w:sz w:val="20"/>
      <w:szCs w:val="20"/>
    </w:rPr>
  </w:style>
  <w:style w:type="paragraph" w:styleId="TOC3">
    <w:name w:val="toc 3"/>
    <w:basedOn w:val="Normal"/>
    <w:next w:val="Normal"/>
    <w:uiPriority w:val="39"/>
    <w:rsid w:val="00B9265D"/>
    <w:pPr>
      <w:spacing w:before="0" w:after="0"/>
      <w:ind w:left="440"/>
    </w:pPr>
    <w:rPr>
      <w:rFonts w:asciiTheme="minorHAnsi" w:hAnsiTheme="minorHAnsi"/>
      <w:sz w:val="20"/>
      <w:szCs w:val="20"/>
    </w:rPr>
  </w:style>
  <w:style w:type="paragraph" w:styleId="TOC4">
    <w:name w:val="toc 4"/>
    <w:basedOn w:val="Normal"/>
    <w:next w:val="Normal"/>
    <w:uiPriority w:val="39"/>
    <w:rsid w:val="00B9265D"/>
    <w:pPr>
      <w:spacing w:before="0" w:after="0"/>
      <w:ind w:left="660"/>
    </w:pPr>
    <w:rPr>
      <w:rFonts w:asciiTheme="minorHAnsi" w:hAnsiTheme="minorHAnsi"/>
      <w:sz w:val="20"/>
      <w:szCs w:val="20"/>
    </w:rPr>
  </w:style>
  <w:style w:type="paragraph" w:styleId="TOC5">
    <w:name w:val="toc 5"/>
    <w:basedOn w:val="Normal"/>
    <w:next w:val="Normal"/>
    <w:uiPriority w:val="39"/>
    <w:rsid w:val="00A85EB6"/>
    <w:pPr>
      <w:spacing w:before="0" w:after="0"/>
      <w:ind w:left="880"/>
    </w:pPr>
    <w:rPr>
      <w:rFonts w:asciiTheme="minorHAnsi" w:hAnsiTheme="minorHAnsi"/>
      <w:sz w:val="20"/>
      <w:szCs w:val="20"/>
    </w:rPr>
  </w:style>
  <w:style w:type="paragraph" w:styleId="TOC6">
    <w:name w:val="toc 6"/>
    <w:basedOn w:val="Normal"/>
    <w:next w:val="Normal"/>
    <w:uiPriority w:val="39"/>
    <w:rsid w:val="00A85EB6"/>
    <w:pPr>
      <w:spacing w:before="0" w:after="0"/>
      <w:ind w:left="1100"/>
    </w:pPr>
    <w:rPr>
      <w:rFonts w:asciiTheme="minorHAnsi" w:hAnsiTheme="minorHAnsi"/>
      <w:sz w:val="20"/>
      <w:szCs w:val="20"/>
    </w:rPr>
  </w:style>
  <w:style w:type="paragraph" w:styleId="TOC7">
    <w:name w:val="toc 7"/>
    <w:basedOn w:val="Normal"/>
    <w:next w:val="Normal"/>
    <w:uiPriority w:val="39"/>
    <w:rsid w:val="00A85EB6"/>
    <w:pPr>
      <w:spacing w:before="0" w:after="0"/>
      <w:ind w:left="1320"/>
    </w:pPr>
    <w:rPr>
      <w:rFonts w:asciiTheme="minorHAnsi" w:hAnsiTheme="minorHAnsi"/>
      <w:sz w:val="20"/>
      <w:szCs w:val="20"/>
    </w:rPr>
  </w:style>
  <w:style w:type="paragraph" w:styleId="TOC8">
    <w:name w:val="toc 8"/>
    <w:basedOn w:val="Normal"/>
    <w:next w:val="Normal"/>
    <w:uiPriority w:val="39"/>
    <w:rsid w:val="00A85EB6"/>
    <w:pPr>
      <w:spacing w:before="0" w:after="0"/>
      <w:ind w:left="1540"/>
    </w:pPr>
    <w:rPr>
      <w:rFonts w:asciiTheme="minorHAnsi" w:hAnsiTheme="minorHAnsi"/>
      <w:sz w:val="20"/>
      <w:szCs w:val="20"/>
    </w:rPr>
  </w:style>
  <w:style w:type="paragraph" w:styleId="TOC9">
    <w:name w:val="toc 9"/>
    <w:basedOn w:val="Normal"/>
    <w:next w:val="Normal"/>
    <w:uiPriority w:val="39"/>
    <w:rsid w:val="00A85EB6"/>
    <w:pPr>
      <w:spacing w:before="0" w:after="0"/>
      <w:ind w:left="1760"/>
    </w:pPr>
    <w:rPr>
      <w:rFonts w:asciiTheme="minorHAnsi" w:hAnsiTheme="minorHAnsi"/>
      <w:sz w:val="20"/>
      <w:szCs w:val="20"/>
    </w:rPr>
  </w:style>
  <w:style w:type="paragraph" w:styleId="TOCHeading">
    <w:name w:val="TOC Heading"/>
    <w:basedOn w:val="Heading1"/>
    <w:next w:val="Normal"/>
    <w:uiPriority w:val="39"/>
    <w:unhideWhenUsed/>
    <w:qFormat/>
    <w:rsid w:val="00A53217"/>
    <w:pPr>
      <w:outlineLvl w:val="9"/>
    </w:pPr>
    <w:rPr>
      <w:rFonts w:eastAsia="Yu Gothic Medium"/>
      <w:color w:val="6C3D99"/>
    </w:rPr>
  </w:style>
  <w:style w:type="character" w:styleId="UnresolvedMention">
    <w:name w:val="Unresolved Mention"/>
    <w:basedOn w:val="DefaultParagraphFont"/>
    <w:uiPriority w:val="99"/>
    <w:semiHidden/>
    <w:unhideWhenUsed/>
    <w:rsid w:val="009637A8"/>
    <w:rPr>
      <w:color w:val="605E5C"/>
      <w:shd w:val="clear" w:color="auto" w:fill="E1DFDD"/>
    </w:rPr>
  </w:style>
  <w:style w:type="numbering" w:customStyle="1" w:styleId="aaclstStyleBullets">
    <w:name w:val="aac_lstStyle_Bullets"/>
    <w:uiPriority w:val="99"/>
    <w:rsid w:val="000F76C4"/>
    <w:pPr>
      <w:numPr>
        <w:numId w:val="5"/>
      </w:numPr>
    </w:pPr>
  </w:style>
  <w:style w:type="numbering" w:customStyle="1" w:styleId="aaclstStyleListNumber">
    <w:name w:val="aac_lstStyle_ListNumber"/>
    <w:uiPriority w:val="99"/>
    <w:rsid w:val="00303C43"/>
    <w:pPr>
      <w:numPr>
        <w:numId w:val="6"/>
      </w:numPr>
    </w:pPr>
  </w:style>
  <w:style w:type="numbering" w:customStyle="1" w:styleId="aaclstStyleHeadingNumbered">
    <w:name w:val="aac_lstStyle_HeadingNumbered"/>
    <w:uiPriority w:val="99"/>
    <w:rsid w:val="00B43407"/>
    <w:pPr>
      <w:numPr>
        <w:numId w:val="7"/>
      </w:numPr>
    </w:pPr>
  </w:style>
  <w:style w:type="paragraph" w:customStyle="1" w:styleId="Normal-nospace">
    <w:name w:val="Normal - no space"/>
    <w:basedOn w:val="Normal"/>
    <w:qFormat/>
    <w:rsid w:val="00DF3BD9"/>
    <w:pPr>
      <w:spacing w:before="0" w:after="0"/>
    </w:pPr>
    <w:rPr>
      <w:color w:val="000100"/>
    </w:rPr>
  </w:style>
  <w:style w:type="paragraph" w:customStyle="1" w:styleId="Heading2ES">
    <w:name w:val="Heading 2 (ES)"/>
    <w:basedOn w:val="Heading2nonumber"/>
    <w:next w:val="BodyText"/>
    <w:qFormat/>
    <w:rsid w:val="00853C78"/>
    <w:pPr>
      <w:numPr>
        <w:numId w:val="34"/>
      </w:numPr>
    </w:pPr>
    <w:rPr>
      <w:color w:val="6C3F99"/>
    </w:rPr>
  </w:style>
  <w:style w:type="paragraph" w:customStyle="1" w:styleId="Introduction">
    <w:name w:val="Introduction"/>
    <w:basedOn w:val="Normal-nospace"/>
    <w:next w:val="BodyText"/>
    <w:qFormat/>
    <w:rsid w:val="0023326E"/>
    <w:pPr>
      <w:spacing w:before="240" w:after="460" w:line="300" w:lineRule="exact"/>
      <w:ind w:right="120"/>
      <w:contextualSpacing/>
    </w:pPr>
    <w:rPr>
      <w:i/>
      <w:color w:val="7D7C7D"/>
      <w:sz w:val="24"/>
    </w:rPr>
  </w:style>
  <w:style w:type="paragraph" w:customStyle="1" w:styleId="Heading3ES">
    <w:name w:val="Heading 3 (ES)"/>
    <w:basedOn w:val="Heading3nonumber"/>
    <w:next w:val="BodyText"/>
    <w:qFormat/>
    <w:rsid w:val="00853C78"/>
    <w:pPr>
      <w:numPr>
        <w:numId w:val="34"/>
      </w:numPr>
    </w:pPr>
  </w:style>
  <w:style w:type="paragraph" w:customStyle="1" w:styleId="Heading4ES">
    <w:name w:val="Heading 4 (ES)"/>
    <w:basedOn w:val="Heading4nonumber"/>
    <w:next w:val="BodyText"/>
    <w:qFormat/>
    <w:rsid w:val="00853C78"/>
    <w:pPr>
      <w:numPr>
        <w:numId w:val="34"/>
      </w:numPr>
    </w:pPr>
  </w:style>
  <w:style w:type="numbering" w:customStyle="1" w:styleId="aaclstStyleHeadingsES">
    <w:name w:val="aac_lstStyle_HeadingsES"/>
    <w:uiPriority w:val="99"/>
    <w:rsid w:val="00853C78"/>
    <w:pPr>
      <w:numPr>
        <w:numId w:val="10"/>
      </w:numPr>
    </w:pPr>
  </w:style>
  <w:style w:type="paragraph" w:customStyle="1" w:styleId="Header-CompanyName">
    <w:name w:val="Header-Company Name"/>
    <w:basedOn w:val="Normal-nospace"/>
    <w:qFormat/>
    <w:rsid w:val="00025A87"/>
    <w:pPr>
      <w:spacing w:before="100" w:line="240" w:lineRule="auto"/>
      <w:jc w:val="right"/>
    </w:pPr>
    <w:rPr>
      <w:sz w:val="14"/>
    </w:rPr>
  </w:style>
  <w:style w:type="paragraph" w:customStyle="1" w:styleId="FooterText">
    <w:name w:val="Footer Text"/>
    <w:basedOn w:val="Normal-nospace"/>
    <w:qFormat/>
    <w:rsid w:val="009472E3"/>
    <w:pPr>
      <w:spacing w:line="240" w:lineRule="auto"/>
      <w:ind w:right="200"/>
      <w:jc w:val="right"/>
    </w:pPr>
    <w:rPr>
      <w:rFonts w:ascii="Yu Gothic Medium" w:eastAsia="Yu Gothic Medium" w:hAnsi="Yu Gothic Medium"/>
      <w:spacing w:val="6"/>
      <w:sz w:val="12"/>
    </w:rPr>
  </w:style>
  <w:style w:type="paragraph" w:customStyle="1" w:styleId="pageNumber0">
    <w:name w:val="pageNumber"/>
    <w:basedOn w:val="Normal-nospace"/>
    <w:qFormat/>
    <w:rsid w:val="000C0F1E"/>
    <w:pPr>
      <w:spacing w:line="240" w:lineRule="auto"/>
      <w:ind w:right="40"/>
      <w:jc w:val="center"/>
    </w:pPr>
    <w:rPr>
      <w:rFonts w:ascii="Yu Gothic Medium" w:eastAsia="Yu Gothic Medium" w:hAnsi="Yu Gothic Medium"/>
      <w:color w:val="959595"/>
      <w:sz w:val="20"/>
    </w:rPr>
  </w:style>
  <w:style w:type="paragraph" w:customStyle="1" w:styleId="CpTitle">
    <w:name w:val="Cp Title"/>
    <w:basedOn w:val="Normal-nospace"/>
    <w:next w:val="CpSubTitle"/>
    <w:qFormat/>
    <w:rsid w:val="00E873F8"/>
    <w:pPr>
      <w:spacing w:after="400" w:line="168" w:lineRule="auto"/>
    </w:pPr>
    <w:rPr>
      <w:rFonts w:ascii="Yu Gothic Medium" w:hAnsi="Yu Gothic Medium"/>
      <w:b/>
      <w:color w:val="FFFFFF" w:themeColor="background1"/>
      <w:sz w:val="80"/>
    </w:rPr>
  </w:style>
  <w:style w:type="paragraph" w:customStyle="1" w:styleId="CpSubTitle">
    <w:name w:val="Cp SubTitle"/>
    <w:basedOn w:val="Normalrgb"/>
    <w:qFormat/>
    <w:rsid w:val="006F1B2D"/>
    <w:pPr>
      <w:spacing w:after="400" w:line="168" w:lineRule="auto"/>
    </w:pPr>
    <w:rPr>
      <w:rFonts w:ascii="Yu Gothic Medium" w:hAnsi="Yu Gothic Medium"/>
      <w:sz w:val="48"/>
    </w:rPr>
  </w:style>
  <w:style w:type="numbering" w:customStyle="1" w:styleId="aaclstStyleAppendices">
    <w:name w:val="aac_lstStyle_Appendices"/>
    <w:uiPriority w:val="99"/>
    <w:rsid w:val="008D2BA5"/>
    <w:pPr>
      <w:numPr>
        <w:numId w:val="11"/>
      </w:numPr>
    </w:pPr>
  </w:style>
  <w:style w:type="paragraph" w:customStyle="1" w:styleId="CpReportDate">
    <w:name w:val="Cp Report Date"/>
    <w:basedOn w:val="Normal-nospace"/>
    <w:qFormat/>
    <w:rsid w:val="00C7281C"/>
    <w:pPr>
      <w:spacing w:before="90" w:line="240" w:lineRule="auto"/>
    </w:pPr>
    <w:rPr>
      <w:rFonts w:ascii="Yu Gothic Medium" w:eastAsia="Yu Gothic Medium" w:hAnsi="Yu Gothic Medium"/>
      <w:color w:val="FFFFFF"/>
    </w:rPr>
  </w:style>
  <w:style w:type="paragraph" w:customStyle="1" w:styleId="CpReportTo">
    <w:name w:val="Cp Report To"/>
    <w:basedOn w:val="Normalrgb"/>
    <w:qFormat/>
    <w:rsid w:val="00B9126B"/>
    <w:pPr>
      <w:spacing w:before="90" w:line="260" w:lineRule="exact"/>
    </w:pPr>
    <w:rPr>
      <w:rFonts w:ascii="Yu Gothic Medium" w:eastAsia="Yu Gothic Medium" w:hAnsi="Yu Gothic Medium"/>
      <w:sz w:val="20"/>
    </w:rPr>
  </w:style>
  <w:style w:type="paragraph" w:customStyle="1" w:styleId="CpClientName">
    <w:name w:val="Cp Client Name"/>
    <w:basedOn w:val="Normalrgb"/>
    <w:qFormat/>
    <w:rsid w:val="00B9126B"/>
    <w:pPr>
      <w:spacing w:before="90" w:line="260" w:lineRule="exact"/>
    </w:pPr>
    <w:rPr>
      <w:rFonts w:ascii="Yu Gothic Medium" w:eastAsia="Yu Gothic Medium" w:hAnsi="Yu Gothic Medium"/>
      <w:sz w:val="20"/>
    </w:rPr>
  </w:style>
  <w:style w:type="paragraph" w:customStyle="1" w:styleId="Style1">
    <w:name w:val="Style1"/>
    <w:basedOn w:val="Normal-nospace"/>
    <w:qFormat/>
    <w:rsid w:val="00695E8A"/>
    <w:pPr>
      <w:spacing w:after="400" w:line="216" w:lineRule="auto"/>
    </w:pPr>
    <w:rPr>
      <w:rFonts w:ascii="Yu Gothic Medium" w:hAnsi="Yu Gothic Medium"/>
      <w:b/>
      <w:color w:val="FF0000"/>
      <w:sz w:val="80"/>
    </w:rPr>
  </w:style>
  <w:style w:type="numbering" w:customStyle="1" w:styleId="lstStyleBullets">
    <w:name w:val="lstStyle_Bullets"/>
    <w:uiPriority w:val="99"/>
    <w:rsid w:val="003F70C7"/>
  </w:style>
  <w:style w:type="numbering" w:customStyle="1" w:styleId="lstStyleListNumber">
    <w:name w:val="lstStyle_ListNumber"/>
    <w:uiPriority w:val="99"/>
    <w:rsid w:val="003F70C7"/>
    <w:pPr>
      <w:numPr>
        <w:numId w:val="12"/>
      </w:numPr>
    </w:pPr>
  </w:style>
  <w:style w:type="numbering" w:customStyle="1" w:styleId="lstStyleHeadingNumbered">
    <w:name w:val="lstStyle_Heading_Numbered"/>
    <w:uiPriority w:val="99"/>
    <w:rsid w:val="00DE7AEA"/>
    <w:pPr>
      <w:numPr>
        <w:numId w:val="13"/>
      </w:numPr>
    </w:pPr>
  </w:style>
  <w:style w:type="paragraph" w:customStyle="1" w:styleId="spacer">
    <w:name w:val="spacer"/>
    <w:basedOn w:val="Normal-nospace"/>
    <w:qFormat/>
    <w:rsid w:val="006E428D"/>
    <w:pPr>
      <w:spacing w:line="240" w:lineRule="auto"/>
    </w:pPr>
    <w:rPr>
      <w:sz w:val="4"/>
    </w:rPr>
  </w:style>
  <w:style w:type="paragraph" w:customStyle="1" w:styleId="spacertbl">
    <w:name w:val="spacer_tbl"/>
    <w:basedOn w:val="spacer"/>
    <w:qFormat/>
    <w:rsid w:val="006E428D"/>
  </w:style>
  <w:style w:type="paragraph" w:customStyle="1" w:styleId="tagchapterBanner">
    <w:name w:val="tag_chapterBanner"/>
    <w:basedOn w:val="spacer"/>
    <w:qFormat/>
    <w:rsid w:val="0040609B"/>
    <w:pPr>
      <w:keepNext/>
      <w:pageBreakBefore/>
    </w:pPr>
  </w:style>
  <w:style w:type="paragraph" w:customStyle="1" w:styleId="HeadingChapter">
    <w:name w:val="Heading (Chapter)"/>
    <w:basedOn w:val="Normal-nospace"/>
    <w:qFormat/>
    <w:rsid w:val="00557FA4"/>
    <w:pPr>
      <w:spacing w:line="1960" w:lineRule="exact"/>
      <w:ind w:left="216" w:right="62"/>
      <w:jc w:val="right"/>
    </w:pPr>
    <w:rPr>
      <w:rFonts w:ascii="Yu Gothic Medium" w:hAnsi="Yu Gothic Medium"/>
      <w:color w:val="FFFEFF"/>
      <w:sz w:val="160"/>
    </w:rPr>
  </w:style>
  <w:style w:type="paragraph" w:customStyle="1" w:styleId="Heading1ES">
    <w:name w:val="Heading 1 (ES)"/>
    <w:basedOn w:val="Heading1nonumber"/>
    <w:next w:val="Introduction"/>
    <w:qFormat/>
    <w:rsid w:val="00853C78"/>
    <w:pPr>
      <w:numPr>
        <w:numId w:val="34"/>
      </w:numPr>
    </w:pPr>
  </w:style>
  <w:style w:type="paragraph" w:customStyle="1" w:styleId="tagexecBanner">
    <w:name w:val="tag_execBanner"/>
    <w:basedOn w:val="spacer"/>
    <w:qFormat/>
    <w:rsid w:val="0040609B"/>
    <w:pPr>
      <w:keepNext/>
      <w:pageBreakBefore/>
    </w:pPr>
  </w:style>
  <w:style w:type="paragraph" w:customStyle="1" w:styleId="HeadingAppendix">
    <w:name w:val="Heading (Appendix)"/>
    <w:basedOn w:val="HeadingChapter"/>
    <w:qFormat/>
    <w:rsid w:val="0059608F"/>
  </w:style>
  <w:style w:type="paragraph" w:customStyle="1" w:styleId="tagappendixChapter">
    <w:name w:val="tag_appendixChapter"/>
    <w:basedOn w:val="spacer"/>
    <w:qFormat/>
    <w:rsid w:val="0040609B"/>
    <w:pPr>
      <w:keepNext/>
      <w:pageBreakBefore/>
    </w:pPr>
  </w:style>
  <w:style w:type="table" w:customStyle="1" w:styleId="aacTableBasic">
    <w:name w:val="aac Table (Basic)"/>
    <w:basedOn w:val="TableNormal"/>
    <w:next w:val="TableGrid"/>
    <w:uiPriority w:val="39"/>
    <w:rsid w:val="001B1E74"/>
    <w:pPr>
      <w:spacing w:before="60" w:after="0" w:line="240" w:lineRule="atLeast"/>
    </w:pPr>
    <w:rPr>
      <w:rFonts w:ascii="Arial Narrow" w:hAnsi="Arial Narrow"/>
      <w:lang w:val="en-US"/>
    </w:rPr>
    <w:tblPr>
      <w:tblBorders>
        <w:bottom w:val="single" w:sz="4" w:space="0" w:color="auto"/>
        <w:insideH w:val="single" w:sz="4" w:space="0" w:color="auto"/>
      </w:tblBorders>
      <w:tblCellMar>
        <w:left w:w="0" w:type="dxa"/>
        <w:right w:w="0" w:type="dxa"/>
      </w:tblCellMar>
    </w:tblPr>
    <w:tcPr>
      <w:shd w:val="clear" w:color="auto" w:fill="auto"/>
    </w:tcPr>
    <w:tblStylePr w:type="firstRow">
      <w:pPr>
        <w:jc w:val="left"/>
      </w:pPr>
      <w:rPr>
        <w:color w:val="FFFFFF" w:themeColor="background1"/>
      </w:rPr>
      <w:tblPr/>
      <w:tcPr>
        <w:shd w:val="clear" w:color="auto" w:fill="140034"/>
      </w:tcPr>
    </w:tblStylePr>
  </w:style>
  <w:style w:type="paragraph" w:customStyle="1" w:styleId="tagcoverPage">
    <w:name w:val="tag_coverPage"/>
    <w:basedOn w:val="spacer"/>
    <w:qFormat/>
    <w:rsid w:val="00F970FA"/>
    <w:rPr>
      <w:b/>
      <w:bCs/>
    </w:rPr>
  </w:style>
  <w:style w:type="paragraph" w:customStyle="1" w:styleId="tagcontactsPage-Front">
    <w:name w:val="tag_contactsPage-Front"/>
    <w:basedOn w:val="spacer"/>
    <w:qFormat/>
    <w:rsid w:val="004051FB"/>
    <w:pPr>
      <w:keepNext/>
      <w:pageBreakBefore/>
    </w:pPr>
  </w:style>
  <w:style w:type="paragraph" w:customStyle="1" w:styleId="tagcontactsPage-Back">
    <w:name w:val="tag_contactsPage-Back"/>
    <w:basedOn w:val="spacer"/>
    <w:qFormat/>
    <w:rsid w:val="00B353EA"/>
  </w:style>
  <w:style w:type="paragraph" w:customStyle="1" w:styleId="tagpartBanner">
    <w:name w:val="tag_partBanner"/>
    <w:basedOn w:val="spacer"/>
    <w:qFormat/>
    <w:rsid w:val="0040609B"/>
    <w:pPr>
      <w:keepNext/>
      <w:pageBreakBefore/>
    </w:pPr>
  </w:style>
  <w:style w:type="paragraph" w:customStyle="1" w:styleId="tagappendixPart">
    <w:name w:val="tag_appendixPart"/>
    <w:basedOn w:val="spacer"/>
    <w:qFormat/>
    <w:rsid w:val="00B353EA"/>
  </w:style>
  <w:style w:type="paragraph" w:customStyle="1" w:styleId="Tabletext">
    <w:name w:val="Table text"/>
    <w:basedOn w:val="Normal-nospace"/>
    <w:qFormat/>
    <w:rsid w:val="00394848"/>
    <w:pPr>
      <w:spacing w:before="60" w:line="192" w:lineRule="auto"/>
      <w:ind w:left="40" w:right="119"/>
    </w:pPr>
    <w:rPr>
      <w:rFonts w:ascii="Yu Gothic Medium" w:eastAsia="Yu Gothic Medium" w:hAnsi="Yu Gothic Medium"/>
      <w:spacing w:val="-12"/>
      <w:sz w:val="19"/>
    </w:rPr>
  </w:style>
  <w:style w:type="paragraph" w:customStyle="1" w:styleId="Tabletextsmall">
    <w:name w:val="Table text (small)"/>
    <w:basedOn w:val="Normal-nospace"/>
    <w:qFormat/>
    <w:rsid w:val="00191BF4"/>
    <w:pPr>
      <w:spacing w:before="40" w:line="192" w:lineRule="auto"/>
      <w:ind w:left="40" w:right="119"/>
    </w:pPr>
    <w:rPr>
      <w:rFonts w:ascii="Yu Gothic Medium" w:eastAsia="Yu Gothic Medium" w:hAnsi="Yu Gothic Medium"/>
      <w:spacing w:val="-12"/>
      <w:sz w:val="15"/>
    </w:rPr>
  </w:style>
  <w:style w:type="paragraph" w:customStyle="1" w:styleId="Tableunitsrow">
    <w:name w:val="Table units row"/>
    <w:basedOn w:val="Normal-nospace"/>
    <w:qFormat/>
    <w:rsid w:val="007877E2"/>
    <w:pPr>
      <w:spacing w:before="60" w:line="240" w:lineRule="atLeast"/>
      <w:ind w:left="40" w:right="119"/>
    </w:pPr>
    <w:rPr>
      <w:sz w:val="20"/>
    </w:rPr>
  </w:style>
  <w:style w:type="paragraph" w:customStyle="1" w:styleId="Tablecolumnheadings">
    <w:name w:val="Table column headings"/>
    <w:basedOn w:val="Tabletext"/>
    <w:qFormat/>
    <w:rsid w:val="002179F8"/>
    <w:pPr>
      <w:keepNext/>
      <w:spacing w:before="40" w:after="40"/>
      <w:ind w:right="80"/>
    </w:pPr>
    <w:rPr>
      <w:b/>
      <w:color w:val="FFFFFF"/>
    </w:rPr>
  </w:style>
  <w:style w:type="paragraph" w:customStyle="1" w:styleId="Source">
    <w:name w:val="Source"/>
    <w:basedOn w:val="Normal-nospace"/>
    <w:link w:val="SourceChar"/>
    <w:qFormat/>
    <w:rsid w:val="00C262C8"/>
    <w:pPr>
      <w:spacing w:before="80" w:after="80" w:line="240" w:lineRule="auto"/>
      <w:ind w:left="40" w:right="80"/>
    </w:pPr>
    <w:rPr>
      <w:rFonts w:ascii="Yu Gothic Medium" w:hAnsi="Yu Gothic Medium"/>
      <w:i/>
      <w:sz w:val="16"/>
    </w:rPr>
  </w:style>
  <w:style w:type="paragraph" w:customStyle="1" w:styleId="CpAboutAcilAllen">
    <w:name w:val="Cp About Acil Allen"/>
    <w:basedOn w:val="Normalrgb"/>
    <w:qFormat/>
    <w:rsid w:val="002627BC"/>
    <w:pPr>
      <w:spacing w:after="100" w:line="240" w:lineRule="auto"/>
    </w:pPr>
    <w:rPr>
      <w:sz w:val="24"/>
    </w:rPr>
  </w:style>
  <w:style w:type="paragraph" w:customStyle="1" w:styleId="CpDisclaimer">
    <w:name w:val="Cp Disclaimer"/>
    <w:basedOn w:val="Normalrgb"/>
    <w:qFormat/>
    <w:rsid w:val="00B67D84"/>
    <w:pPr>
      <w:spacing w:after="100" w:line="240" w:lineRule="auto"/>
      <w:ind w:right="323"/>
    </w:pPr>
    <w:rPr>
      <w:sz w:val="14"/>
    </w:rPr>
  </w:style>
  <w:style w:type="paragraph" w:customStyle="1" w:styleId="CpDisclaimer9pt">
    <w:name w:val="Cp Disclaimer 9pt"/>
    <w:basedOn w:val="Normalrgb"/>
    <w:qFormat/>
    <w:rsid w:val="00B67D84"/>
    <w:pPr>
      <w:spacing w:after="100" w:line="240" w:lineRule="auto"/>
    </w:pPr>
    <w:rPr>
      <w:sz w:val="18"/>
    </w:rPr>
  </w:style>
  <w:style w:type="paragraph" w:customStyle="1" w:styleId="Part-HeadingBanner">
    <w:name w:val="Part - Heading (Banner)"/>
    <w:basedOn w:val="Normal-nospace"/>
    <w:next w:val="Part-SubHeadBanner"/>
    <w:qFormat/>
    <w:rsid w:val="00EB3A30"/>
    <w:pPr>
      <w:spacing w:line="192" w:lineRule="auto"/>
    </w:pPr>
    <w:rPr>
      <w:rFonts w:ascii="Yu Gothic Medium" w:hAnsi="Yu Gothic Medium"/>
      <w:b/>
      <w:color w:val="FFFEFF"/>
      <w:sz w:val="52"/>
    </w:rPr>
  </w:style>
  <w:style w:type="paragraph" w:customStyle="1" w:styleId="Part-SubHeadBanner">
    <w:name w:val="Part - SubHead (Banner)"/>
    <w:basedOn w:val="Normalrgb"/>
    <w:qFormat/>
    <w:rsid w:val="00CA4C4B"/>
    <w:pPr>
      <w:spacing w:line="192" w:lineRule="auto"/>
    </w:pPr>
    <w:rPr>
      <w:rFonts w:ascii="Yu Gothic Medium" w:hAnsi="Yu Gothic Medium"/>
      <w:b/>
      <w:sz w:val="52"/>
    </w:rPr>
  </w:style>
  <w:style w:type="paragraph" w:customStyle="1" w:styleId="Partxx">
    <w:name w:val="Part xx"/>
    <w:basedOn w:val="spacer"/>
    <w:qFormat/>
    <w:rsid w:val="00296BE7"/>
    <w:rPr>
      <w:color w:val="140134"/>
    </w:rPr>
  </w:style>
  <w:style w:type="paragraph" w:customStyle="1" w:styleId="Part-Number">
    <w:name w:val="Part - Number"/>
    <w:basedOn w:val="BodyText"/>
    <w:qFormat/>
    <w:rsid w:val="00DA2D22"/>
    <w:pPr>
      <w:spacing w:before="24" w:after="0" w:line="1600" w:lineRule="exact"/>
      <w:jc w:val="right"/>
    </w:pPr>
    <w:rPr>
      <w:rFonts w:ascii="Yu Gothic Medium" w:eastAsia="Yu Gothic Medium" w:hAnsi="Yu Gothic Medium"/>
      <w:color w:val="FFFEFF"/>
      <w:position w:val="-16"/>
      <w:sz w:val="160"/>
    </w:rPr>
  </w:style>
  <w:style w:type="paragraph" w:customStyle="1" w:styleId="App-DividerHeading">
    <w:name w:val="App - Divider (Heading)"/>
    <w:basedOn w:val="Part-HeadingBanner"/>
    <w:next w:val="App-DividerSubHeading"/>
    <w:qFormat/>
    <w:rsid w:val="00EB3A30"/>
  </w:style>
  <w:style w:type="paragraph" w:customStyle="1" w:styleId="App-DividerSubHeading">
    <w:name w:val="App - Divider (Sub Heading)"/>
    <w:basedOn w:val="Part-SubHeadBanner"/>
    <w:qFormat/>
    <w:rsid w:val="00E41318"/>
    <w:rPr>
      <w:color w:val="140034"/>
    </w:rPr>
  </w:style>
  <w:style w:type="paragraph" w:customStyle="1" w:styleId="CpContactDetails">
    <w:name w:val="Cp Contact Details"/>
    <w:basedOn w:val="Normal"/>
    <w:qFormat/>
    <w:rsid w:val="00501F07"/>
    <w:pPr>
      <w:spacing w:before="0" w:after="0" w:line="250" w:lineRule="exact"/>
    </w:pPr>
    <w:rPr>
      <w:color w:val="FFFEFF"/>
    </w:rPr>
  </w:style>
  <w:style w:type="paragraph" w:customStyle="1" w:styleId="LetterHeading1">
    <w:name w:val="Letter Heading 1"/>
    <w:basedOn w:val="BodyText"/>
    <w:next w:val="BodyText"/>
    <w:qFormat/>
    <w:rsid w:val="002E2EDB"/>
    <w:pPr>
      <w:keepNext/>
    </w:pPr>
    <w:rPr>
      <w:b/>
      <w:color w:val="000100"/>
    </w:rPr>
  </w:style>
  <w:style w:type="paragraph" w:customStyle="1" w:styleId="LetterDate">
    <w:name w:val="LetterDate"/>
    <w:basedOn w:val="Normal-nospace"/>
    <w:next w:val="LetterRef"/>
    <w:qFormat/>
    <w:rsid w:val="00DF3BD9"/>
    <w:pPr>
      <w:spacing w:before="600" w:line="280" w:lineRule="exact"/>
    </w:pPr>
  </w:style>
  <w:style w:type="paragraph" w:customStyle="1" w:styleId="LetterRef">
    <w:name w:val="LetterRef"/>
    <w:basedOn w:val="Normal-nospace"/>
    <w:next w:val="LetterName"/>
    <w:qFormat/>
    <w:rsid w:val="00DF3BD9"/>
    <w:pPr>
      <w:spacing w:before="40" w:after="600"/>
    </w:pPr>
  </w:style>
  <w:style w:type="paragraph" w:customStyle="1" w:styleId="LetterName">
    <w:name w:val="LetterName"/>
    <w:basedOn w:val="Normal-nospace"/>
    <w:next w:val="LetterTitle"/>
    <w:qFormat/>
    <w:rsid w:val="00DF3BD9"/>
    <w:pPr>
      <w:spacing w:line="280" w:lineRule="exact"/>
    </w:pPr>
  </w:style>
  <w:style w:type="paragraph" w:customStyle="1" w:styleId="LetterTitle">
    <w:name w:val="LetterTitle"/>
    <w:basedOn w:val="Normal-nospace"/>
    <w:next w:val="LetterCompany"/>
    <w:qFormat/>
    <w:rsid w:val="00DF3BD9"/>
    <w:pPr>
      <w:spacing w:line="280" w:lineRule="exact"/>
    </w:pPr>
  </w:style>
  <w:style w:type="paragraph" w:customStyle="1" w:styleId="LetterCompany">
    <w:name w:val="LetterCompany"/>
    <w:basedOn w:val="Normal-nospace"/>
    <w:next w:val="LetterAddress"/>
    <w:qFormat/>
    <w:rsid w:val="00DF3BD9"/>
    <w:pPr>
      <w:spacing w:line="280" w:lineRule="exact"/>
    </w:pPr>
  </w:style>
  <w:style w:type="paragraph" w:customStyle="1" w:styleId="LetterAddress">
    <w:name w:val="LetterAddress"/>
    <w:basedOn w:val="Normal-nospace"/>
    <w:next w:val="LetterCityStatePostcode"/>
    <w:qFormat/>
    <w:rsid w:val="00DF3BD9"/>
    <w:pPr>
      <w:spacing w:line="280" w:lineRule="exact"/>
    </w:pPr>
  </w:style>
  <w:style w:type="paragraph" w:customStyle="1" w:styleId="LetterCityStatePostcode">
    <w:name w:val="LetterCityStatePostcode"/>
    <w:basedOn w:val="Normal-nospace"/>
    <w:next w:val="LetterSubject"/>
    <w:qFormat/>
    <w:rsid w:val="00DF3BD9"/>
    <w:pPr>
      <w:spacing w:line="280" w:lineRule="exact"/>
    </w:pPr>
  </w:style>
  <w:style w:type="paragraph" w:customStyle="1" w:styleId="LetterSubject">
    <w:name w:val="LetterSubject"/>
    <w:basedOn w:val="Normal-nospace"/>
    <w:next w:val="BodyText"/>
    <w:qFormat/>
    <w:rsid w:val="00DF3BD9"/>
    <w:pPr>
      <w:spacing w:before="400" w:after="200" w:line="260" w:lineRule="exact"/>
    </w:pPr>
    <w:rPr>
      <w:b/>
      <w:sz w:val="24"/>
    </w:rPr>
  </w:style>
  <w:style w:type="paragraph" w:customStyle="1" w:styleId="SignatureBlock">
    <w:name w:val="Signature Block"/>
    <w:basedOn w:val="Normal-nospace"/>
    <w:qFormat/>
    <w:rsid w:val="00DF3BD9"/>
    <w:pPr>
      <w:keepNext/>
      <w:keepLines/>
      <w:spacing w:line="240" w:lineRule="auto"/>
    </w:pPr>
  </w:style>
  <w:style w:type="paragraph" w:customStyle="1" w:styleId="StationeryConfidentiality">
    <w:name w:val="Stationery Confidentiality"/>
    <w:basedOn w:val="Normal-nospace"/>
    <w:qFormat/>
    <w:rsid w:val="006468AE"/>
    <w:pPr>
      <w:keepNext/>
      <w:spacing w:before="120" w:after="120" w:line="280" w:lineRule="exact"/>
    </w:pPr>
    <w:rPr>
      <w:i/>
    </w:rPr>
  </w:style>
  <w:style w:type="paragraph" w:customStyle="1" w:styleId="StationeryContact">
    <w:name w:val="StationeryContact"/>
    <w:basedOn w:val="Normal-nospace"/>
    <w:qFormat/>
    <w:rsid w:val="00FD10DC"/>
    <w:pPr>
      <w:spacing w:line="240" w:lineRule="auto"/>
    </w:pPr>
  </w:style>
  <w:style w:type="paragraph" w:customStyle="1" w:styleId="StationeryType">
    <w:name w:val="StationeryType"/>
    <w:basedOn w:val="Normal-nospace"/>
    <w:qFormat/>
    <w:rsid w:val="00FD10DC"/>
    <w:pPr>
      <w:spacing w:before="90" w:after="84" w:line="240" w:lineRule="auto"/>
    </w:pPr>
    <w:rPr>
      <w:b/>
      <w:color w:val="FFFEFF"/>
      <w:sz w:val="24"/>
    </w:rPr>
  </w:style>
  <w:style w:type="paragraph" w:customStyle="1" w:styleId="StationeryLabel">
    <w:name w:val="StationeryLabel"/>
    <w:basedOn w:val="Normal-nospace"/>
    <w:qFormat/>
    <w:rsid w:val="00FD10DC"/>
    <w:pPr>
      <w:spacing w:line="240" w:lineRule="auto"/>
    </w:pPr>
    <w:rPr>
      <w:b/>
      <w:spacing w:val="8"/>
    </w:rPr>
  </w:style>
  <w:style w:type="paragraph" w:customStyle="1" w:styleId="StationeryRefMemo">
    <w:name w:val="StationeryRef_Memo"/>
    <w:basedOn w:val="StationeryContact"/>
    <w:qFormat/>
    <w:rsid w:val="004552DF"/>
  </w:style>
  <w:style w:type="paragraph" w:customStyle="1" w:styleId="FooterLetter">
    <w:name w:val="Footer (Letter)"/>
    <w:basedOn w:val="Normal"/>
    <w:qFormat/>
    <w:rsid w:val="00A85EB6"/>
    <w:pPr>
      <w:spacing w:before="26" w:after="0" w:line="240" w:lineRule="auto"/>
    </w:pPr>
    <w:rPr>
      <w:rFonts w:cstheme="minorBidi"/>
      <w:color w:val="000100"/>
      <w:sz w:val="16"/>
    </w:rPr>
  </w:style>
  <w:style w:type="paragraph" w:customStyle="1" w:styleId="FooterLetter-Contact">
    <w:name w:val="Footer (Letter-Contact)"/>
    <w:basedOn w:val="FooterLetter"/>
    <w:qFormat/>
    <w:rsid w:val="001D42B2"/>
    <w:pPr>
      <w:spacing w:before="20" w:after="20"/>
      <w:jc w:val="right"/>
    </w:pPr>
    <w:rPr>
      <w:color w:val="6C3E99"/>
    </w:rPr>
  </w:style>
  <w:style w:type="paragraph" w:customStyle="1" w:styleId="FooterText0">
    <w:name w:val="Footer (Text)"/>
    <w:basedOn w:val="Footer"/>
    <w:qFormat/>
    <w:rsid w:val="00A85EB6"/>
    <w:pPr>
      <w:tabs>
        <w:tab w:val="clear" w:pos="4513"/>
        <w:tab w:val="clear" w:pos="9026"/>
        <w:tab w:val="right" w:pos="9360"/>
      </w:tabs>
      <w:jc w:val="right"/>
    </w:pPr>
    <w:rPr>
      <w:rFonts w:eastAsia="Yu Gothic Medium" w:cstheme="minorBidi"/>
      <w:spacing w:val="6"/>
    </w:rPr>
  </w:style>
  <w:style w:type="paragraph" w:customStyle="1" w:styleId="TOCGeneral">
    <w:name w:val="TOC General"/>
    <w:basedOn w:val="Normal"/>
    <w:qFormat/>
    <w:rsid w:val="007A1923"/>
    <w:pPr>
      <w:spacing w:before="0" w:after="0" w:line="240" w:lineRule="auto"/>
    </w:pPr>
    <w:rPr>
      <w:rFonts w:cstheme="minorBidi"/>
      <w:vanish/>
      <w:color w:val="000100"/>
      <w:sz w:val="8"/>
    </w:rPr>
  </w:style>
  <w:style w:type="numbering" w:customStyle="1" w:styleId="TOCList">
    <w:name w:val="TOC List"/>
    <w:uiPriority w:val="99"/>
    <w:rsid w:val="00C62B89"/>
    <w:pPr>
      <w:numPr>
        <w:numId w:val="14"/>
      </w:numPr>
    </w:pPr>
  </w:style>
  <w:style w:type="paragraph" w:customStyle="1" w:styleId="FooterLetter-Logo">
    <w:name w:val="Footer (Letter-Logo)"/>
    <w:basedOn w:val="FooterLetter-Contact"/>
    <w:qFormat/>
    <w:rsid w:val="00A95E46"/>
    <w:rPr>
      <w:lang w:val="en-US"/>
    </w:rPr>
  </w:style>
  <w:style w:type="paragraph" w:customStyle="1" w:styleId="Headingglossary">
    <w:name w:val="Heading (glossary)"/>
    <w:basedOn w:val="Heading1nonumber"/>
    <w:qFormat/>
    <w:rsid w:val="00284C7E"/>
  </w:style>
  <w:style w:type="character" w:customStyle="1" w:styleId="CaptionLabel">
    <w:name w:val="Caption Label"/>
    <w:basedOn w:val="DefaultParagraphFont"/>
    <w:uiPriority w:val="1"/>
    <w:qFormat/>
    <w:rsid w:val="00004480"/>
    <w:rPr>
      <w:rFonts w:ascii="Yu Gothic Medium" w:hAnsi="Yu Gothic Medium"/>
      <w:b/>
      <w:color w:val="000100"/>
    </w:rPr>
  </w:style>
  <w:style w:type="paragraph" w:customStyle="1" w:styleId="BoxListBullet">
    <w:name w:val="Box List Bullet"/>
    <w:basedOn w:val="BoxText"/>
    <w:qFormat/>
    <w:rsid w:val="001646CC"/>
    <w:pPr>
      <w:numPr>
        <w:numId w:val="16"/>
      </w:numPr>
    </w:pPr>
  </w:style>
  <w:style w:type="paragraph" w:customStyle="1" w:styleId="BoxListBullet2">
    <w:name w:val="Box List Bullet 2"/>
    <w:basedOn w:val="BoxText"/>
    <w:qFormat/>
    <w:rsid w:val="001646CC"/>
    <w:pPr>
      <w:numPr>
        <w:ilvl w:val="1"/>
        <w:numId w:val="16"/>
      </w:numPr>
      <w:spacing w:before="0"/>
    </w:pPr>
  </w:style>
  <w:style w:type="paragraph" w:customStyle="1" w:styleId="BoxListBullet3">
    <w:name w:val="Box List Bullet 3"/>
    <w:basedOn w:val="BoxText"/>
    <w:qFormat/>
    <w:rsid w:val="001646CC"/>
    <w:pPr>
      <w:numPr>
        <w:ilvl w:val="2"/>
        <w:numId w:val="16"/>
      </w:numPr>
      <w:spacing w:before="0"/>
    </w:pPr>
  </w:style>
  <w:style w:type="numbering" w:customStyle="1" w:styleId="aaclstStyleBoxListBullets">
    <w:name w:val="aac_lstStyle_BoxListBullets"/>
    <w:uiPriority w:val="99"/>
    <w:rsid w:val="001646CC"/>
    <w:pPr>
      <w:numPr>
        <w:numId w:val="16"/>
      </w:numPr>
    </w:pPr>
  </w:style>
  <w:style w:type="paragraph" w:customStyle="1" w:styleId="BoxListNumber">
    <w:name w:val="Box List Number"/>
    <w:basedOn w:val="BoxText"/>
    <w:qFormat/>
    <w:rsid w:val="001801B5"/>
    <w:pPr>
      <w:numPr>
        <w:numId w:val="21"/>
      </w:numPr>
    </w:pPr>
  </w:style>
  <w:style w:type="paragraph" w:customStyle="1" w:styleId="BoxText">
    <w:name w:val="Box Text"/>
    <w:basedOn w:val="BodyText2"/>
    <w:qFormat/>
    <w:rsid w:val="00CE6644"/>
    <w:pPr>
      <w:keepNext/>
      <w:spacing w:before="60" w:after="60" w:line="192" w:lineRule="auto"/>
    </w:pPr>
    <w:rPr>
      <w:rFonts w:cstheme="minorBidi"/>
      <w:color w:val="000100"/>
    </w:rPr>
  </w:style>
  <w:style w:type="paragraph" w:customStyle="1" w:styleId="BoxListNumber2">
    <w:name w:val="Box List Number 2"/>
    <w:basedOn w:val="BoxText"/>
    <w:qFormat/>
    <w:rsid w:val="001801B5"/>
    <w:pPr>
      <w:numPr>
        <w:ilvl w:val="1"/>
        <w:numId w:val="21"/>
      </w:numPr>
      <w:spacing w:before="0"/>
    </w:pPr>
  </w:style>
  <w:style w:type="paragraph" w:customStyle="1" w:styleId="BoxListNumber3">
    <w:name w:val="Box List Number 3"/>
    <w:basedOn w:val="BoxText"/>
    <w:qFormat/>
    <w:rsid w:val="001801B5"/>
    <w:pPr>
      <w:numPr>
        <w:ilvl w:val="2"/>
        <w:numId w:val="21"/>
      </w:numPr>
      <w:spacing w:before="0"/>
    </w:pPr>
  </w:style>
  <w:style w:type="paragraph" w:customStyle="1" w:styleId="BoxQuote">
    <w:name w:val="Box Quote"/>
    <w:basedOn w:val="BoxText"/>
    <w:qFormat/>
    <w:rsid w:val="0092021A"/>
    <w:pPr>
      <w:numPr>
        <w:ilvl w:val="3"/>
        <w:numId w:val="16"/>
      </w:numPr>
      <w:spacing w:before="120"/>
    </w:pPr>
    <w:rPr>
      <w:i/>
      <w:color w:val="595959" w:themeColor="text1" w:themeTint="A6"/>
    </w:rPr>
  </w:style>
  <w:style w:type="paragraph" w:customStyle="1" w:styleId="BoxQuoteListBullet">
    <w:name w:val="Box Quote List Bullet"/>
    <w:basedOn w:val="BoxText"/>
    <w:qFormat/>
    <w:rsid w:val="001646CC"/>
    <w:pPr>
      <w:numPr>
        <w:ilvl w:val="4"/>
        <w:numId w:val="16"/>
      </w:numPr>
      <w:ind w:right="400"/>
    </w:pPr>
    <w:rPr>
      <w:i/>
      <w:color w:val="404040" w:themeColor="text1" w:themeTint="BF"/>
    </w:rPr>
  </w:style>
  <w:style w:type="paragraph" w:customStyle="1" w:styleId="BoxQuoteSource">
    <w:name w:val="Box Quote Source"/>
    <w:basedOn w:val="BoxText"/>
    <w:qFormat/>
    <w:rsid w:val="00121B0F"/>
    <w:pPr>
      <w:spacing w:before="90"/>
      <w:ind w:right="400"/>
      <w:jc w:val="right"/>
    </w:pPr>
    <w:rPr>
      <w:i/>
      <w:color w:val="595959" w:themeColor="text1" w:themeTint="A6"/>
    </w:rPr>
  </w:style>
  <w:style w:type="paragraph" w:customStyle="1" w:styleId="BoxSideHeading1">
    <w:name w:val="Box Side Heading 1"/>
    <w:basedOn w:val="BoxText"/>
    <w:next w:val="BoxText"/>
    <w:qFormat/>
    <w:rsid w:val="00B77B10"/>
    <w:pPr>
      <w:spacing w:before="0"/>
    </w:pPr>
    <w:rPr>
      <w:b/>
      <w:spacing w:val="-4"/>
    </w:rPr>
  </w:style>
  <w:style w:type="paragraph" w:customStyle="1" w:styleId="BoxSideHeading2">
    <w:name w:val="Box Side Heading 2"/>
    <w:basedOn w:val="BoxText"/>
    <w:next w:val="BoxText"/>
    <w:qFormat/>
    <w:rsid w:val="00B055CA"/>
    <w:pPr>
      <w:spacing w:before="0"/>
    </w:pPr>
    <w:rPr>
      <w:i/>
    </w:rPr>
  </w:style>
  <w:style w:type="paragraph" w:customStyle="1" w:styleId="BoxTextBoldItalic">
    <w:name w:val="Box Text (Bold Italic)"/>
    <w:basedOn w:val="Normal"/>
    <w:qFormat/>
    <w:rsid w:val="00352A40"/>
    <w:pPr>
      <w:spacing w:after="61" w:line="240" w:lineRule="atLeast"/>
    </w:pPr>
    <w:rPr>
      <w:rFonts w:cstheme="minorBidi"/>
      <w:b/>
      <w:i/>
      <w:color w:val="000100"/>
      <w:sz w:val="20"/>
    </w:rPr>
  </w:style>
  <w:style w:type="paragraph" w:customStyle="1" w:styleId="BoxTextHeading">
    <w:name w:val="Box Text Heading"/>
    <w:basedOn w:val="Normal"/>
    <w:qFormat/>
    <w:rsid w:val="00B055CA"/>
    <w:pPr>
      <w:keepNext/>
      <w:spacing w:after="61" w:line="240" w:lineRule="atLeast"/>
      <w:ind w:left="442"/>
    </w:pPr>
    <w:rPr>
      <w:rFonts w:cstheme="minorBidi"/>
      <w:b/>
      <w:color w:val="000100"/>
      <w:sz w:val="20"/>
    </w:rPr>
  </w:style>
  <w:style w:type="paragraph" w:customStyle="1" w:styleId="Figure">
    <w:name w:val="Figure"/>
    <w:basedOn w:val="Normal-nospace"/>
    <w:qFormat/>
    <w:rsid w:val="00A86812"/>
    <w:pPr>
      <w:keepNext/>
      <w:spacing w:line="240" w:lineRule="auto"/>
    </w:pPr>
    <w:rPr>
      <w:sz w:val="16"/>
    </w:rPr>
  </w:style>
  <w:style w:type="numbering" w:customStyle="1" w:styleId="aacTableListBullets">
    <w:name w:val="aac Table List Bullets"/>
    <w:uiPriority w:val="99"/>
    <w:rsid w:val="007877E2"/>
    <w:pPr>
      <w:numPr>
        <w:numId w:val="17"/>
      </w:numPr>
    </w:pPr>
  </w:style>
  <w:style w:type="numbering" w:customStyle="1" w:styleId="aacTableListBulletssmall">
    <w:name w:val="aac Table List Bullets (small)"/>
    <w:uiPriority w:val="99"/>
    <w:rsid w:val="00A9755F"/>
    <w:pPr>
      <w:numPr>
        <w:numId w:val="18"/>
      </w:numPr>
    </w:pPr>
  </w:style>
  <w:style w:type="numbering" w:customStyle="1" w:styleId="aacTableListNumbers">
    <w:name w:val="aac Table List Numbers"/>
    <w:uiPriority w:val="99"/>
    <w:rsid w:val="00A9755F"/>
    <w:pPr>
      <w:numPr>
        <w:numId w:val="19"/>
      </w:numPr>
    </w:pPr>
  </w:style>
  <w:style w:type="numbering" w:customStyle="1" w:styleId="aacTableListNumberssmall">
    <w:name w:val="aac Table List Numbers (small)"/>
    <w:uiPriority w:val="99"/>
    <w:rsid w:val="00A9755F"/>
    <w:pPr>
      <w:numPr>
        <w:numId w:val="20"/>
      </w:numPr>
    </w:pPr>
  </w:style>
  <w:style w:type="paragraph" w:customStyle="1" w:styleId="Tablelistbullet">
    <w:name w:val="Table list bullet"/>
    <w:basedOn w:val="Tabletext"/>
    <w:qFormat/>
    <w:rsid w:val="007877E2"/>
    <w:pPr>
      <w:numPr>
        <w:numId w:val="27"/>
      </w:numPr>
      <w:spacing w:before="40" w:after="40"/>
    </w:pPr>
    <w:rPr>
      <w:rFonts w:cstheme="minorBidi"/>
    </w:rPr>
  </w:style>
  <w:style w:type="paragraph" w:customStyle="1" w:styleId="Tablelistbulletsmall">
    <w:name w:val="Table list bullet (small)"/>
    <w:basedOn w:val="Tabletextsmall"/>
    <w:qFormat/>
    <w:rsid w:val="00A9755F"/>
    <w:pPr>
      <w:numPr>
        <w:numId w:val="29"/>
      </w:numPr>
      <w:spacing w:after="40"/>
      <w:ind w:right="85"/>
    </w:pPr>
    <w:rPr>
      <w:rFonts w:cstheme="minorBidi"/>
    </w:rPr>
  </w:style>
  <w:style w:type="paragraph" w:customStyle="1" w:styleId="Tablelistbullet2">
    <w:name w:val="Table list bullet 2"/>
    <w:basedOn w:val="Tablelistbullet"/>
    <w:qFormat/>
    <w:rsid w:val="00DF1849"/>
    <w:pPr>
      <w:numPr>
        <w:ilvl w:val="1"/>
      </w:numPr>
      <w:spacing w:before="0"/>
      <w:ind w:left="516" w:hanging="238"/>
    </w:pPr>
  </w:style>
  <w:style w:type="paragraph" w:customStyle="1" w:styleId="Tablelistbullet2small">
    <w:name w:val="Table list bullet 2 (small)"/>
    <w:basedOn w:val="Tabletextsmall"/>
    <w:qFormat/>
    <w:rsid w:val="00A9755F"/>
    <w:pPr>
      <w:numPr>
        <w:ilvl w:val="1"/>
        <w:numId w:val="29"/>
      </w:numPr>
      <w:spacing w:before="0" w:after="40"/>
      <w:ind w:right="85"/>
    </w:pPr>
    <w:rPr>
      <w:rFonts w:cstheme="minorBidi"/>
    </w:rPr>
  </w:style>
  <w:style w:type="paragraph" w:customStyle="1" w:styleId="Tablelistbullet3">
    <w:name w:val="Table list bullet 3"/>
    <w:basedOn w:val="Tabletext"/>
    <w:qFormat/>
    <w:rsid w:val="007877E2"/>
    <w:pPr>
      <w:numPr>
        <w:ilvl w:val="2"/>
        <w:numId w:val="27"/>
      </w:numPr>
      <w:spacing w:before="0" w:after="40"/>
    </w:pPr>
    <w:rPr>
      <w:rFonts w:cstheme="minorBidi"/>
    </w:rPr>
  </w:style>
  <w:style w:type="paragraph" w:customStyle="1" w:styleId="Tablelistbullet3small">
    <w:name w:val="Table list bullet 3 (small)"/>
    <w:basedOn w:val="Tabletextsmall"/>
    <w:qFormat/>
    <w:rsid w:val="00A9755F"/>
    <w:pPr>
      <w:numPr>
        <w:ilvl w:val="2"/>
        <w:numId w:val="29"/>
      </w:numPr>
      <w:spacing w:before="0" w:after="40"/>
      <w:ind w:right="85"/>
    </w:pPr>
    <w:rPr>
      <w:rFonts w:cstheme="minorBidi"/>
    </w:rPr>
  </w:style>
  <w:style w:type="paragraph" w:customStyle="1" w:styleId="Tablelistnumber">
    <w:name w:val="Table list number"/>
    <w:basedOn w:val="Tabletext"/>
    <w:qFormat/>
    <w:rsid w:val="007877E2"/>
    <w:pPr>
      <w:numPr>
        <w:numId w:val="28"/>
      </w:numPr>
      <w:spacing w:before="40" w:after="40"/>
    </w:pPr>
    <w:rPr>
      <w:rFonts w:cstheme="minorBidi"/>
    </w:rPr>
  </w:style>
  <w:style w:type="paragraph" w:customStyle="1" w:styleId="Tablelistnumbersmall">
    <w:name w:val="Table list number (small)"/>
    <w:basedOn w:val="Tabletextsmall"/>
    <w:qFormat/>
    <w:rsid w:val="00A9755F"/>
    <w:pPr>
      <w:numPr>
        <w:numId w:val="30"/>
      </w:numPr>
      <w:spacing w:after="40"/>
      <w:ind w:right="85"/>
    </w:pPr>
    <w:rPr>
      <w:rFonts w:cstheme="minorBidi"/>
    </w:rPr>
  </w:style>
  <w:style w:type="paragraph" w:customStyle="1" w:styleId="Tablelistnumber2">
    <w:name w:val="Table list number 2"/>
    <w:basedOn w:val="Tabletext"/>
    <w:qFormat/>
    <w:rsid w:val="007877E2"/>
    <w:pPr>
      <w:numPr>
        <w:ilvl w:val="1"/>
        <w:numId w:val="28"/>
      </w:numPr>
      <w:spacing w:before="0" w:after="40"/>
    </w:pPr>
    <w:rPr>
      <w:rFonts w:cstheme="minorBidi"/>
    </w:rPr>
  </w:style>
  <w:style w:type="paragraph" w:customStyle="1" w:styleId="Tablelistnumber2small">
    <w:name w:val="Table list number 2 (small)"/>
    <w:basedOn w:val="Tabletextsmall"/>
    <w:qFormat/>
    <w:rsid w:val="00A9755F"/>
    <w:pPr>
      <w:numPr>
        <w:ilvl w:val="1"/>
        <w:numId w:val="30"/>
      </w:numPr>
      <w:spacing w:before="0" w:after="40"/>
      <w:ind w:right="85"/>
    </w:pPr>
    <w:rPr>
      <w:rFonts w:cstheme="minorBidi"/>
    </w:rPr>
  </w:style>
  <w:style w:type="paragraph" w:customStyle="1" w:styleId="Tablelistnumber3">
    <w:name w:val="Table list number 3"/>
    <w:basedOn w:val="Tabletext"/>
    <w:qFormat/>
    <w:rsid w:val="007877E2"/>
    <w:pPr>
      <w:numPr>
        <w:ilvl w:val="2"/>
        <w:numId w:val="28"/>
      </w:numPr>
      <w:spacing w:before="0" w:after="40"/>
    </w:pPr>
    <w:rPr>
      <w:rFonts w:cstheme="minorBidi"/>
    </w:rPr>
  </w:style>
  <w:style w:type="paragraph" w:customStyle="1" w:styleId="Tablelistnumber3small">
    <w:name w:val="Table list number 3 (small)"/>
    <w:basedOn w:val="Tabletextsmall"/>
    <w:qFormat/>
    <w:rsid w:val="00A9755F"/>
    <w:pPr>
      <w:numPr>
        <w:ilvl w:val="2"/>
        <w:numId w:val="30"/>
      </w:numPr>
      <w:spacing w:before="0" w:after="40"/>
      <w:ind w:right="85"/>
    </w:pPr>
    <w:rPr>
      <w:rFonts w:cstheme="minorBidi"/>
    </w:rPr>
  </w:style>
  <w:style w:type="numbering" w:customStyle="1" w:styleId="aaclstStyleBoxListNumbers">
    <w:name w:val="aac_lstStyle_BoxListNumbers"/>
    <w:uiPriority w:val="99"/>
    <w:rsid w:val="00240E0D"/>
    <w:pPr>
      <w:numPr>
        <w:numId w:val="21"/>
      </w:numPr>
    </w:pPr>
  </w:style>
  <w:style w:type="paragraph" w:customStyle="1" w:styleId="Tablesideheading1">
    <w:name w:val="Table side heading 1"/>
    <w:basedOn w:val="Tabletext"/>
    <w:next w:val="Tabletext"/>
    <w:qFormat/>
    <w:rsid w:val="00CC4900"/>
    <w:rPr>
      <w:rFonts w:cstheme="minorBidi"/>
      <w:b/>
      <w:spacing w:val="3"/>
    </w:rPr>
  </w:style>
  <w:style w:type="paragraph" w:customStyle="1" w:styleId="Tablesideheading1small">
    <w:name w:val="Table side heading 1 (small)"/>
    <w:basedOn w:val="Tablesideheading1"/>
    <w:qFormat/>
    <w:rsid w:val="00867B0F"/>
    <w:pPr>
      <w:spacing w:before="40" w:line="180" w:lineRule="exact"/>
    </w:pPr>
    <w:rPr>
      <w:spacing w:val="-10"/>
      <w:sz w:val="15"/>
    </w:rPr>
  </w:style>
  <w:style w:type="paragraph" w:customStyle="1" w:styleId="Tablesideheading2">
    <w:name w:val="Table side heading 2"/>
    <w:basedOn w:val="Tabletext"/>
    <w:qFormat/>
    <w:rsid w:val="00CC4900"/>
    <w:rPr>
      <w:rFonts w:cstheme="minorBidi"/>
      <w:b/>
      <w:i/>
    </w:rPr>
  </w:style>
  <w:style w:type="paragraph" w:customStyle="1" w:styleId="Tablesideheading2small">
    <w:name w:val="Table side heading 2 (small)"/>
    <w:basedOn w:val="Tablesideheading2"/>
    <w:qFormat/>
    <w:rsid w:val="00867B0F"/>
    <w:pPr>
      <w:spacing w:line="180" w:lineRule="exact"/>
    </w:pPr>
    <w:rPr>
      <w:spacing w:val="-10"/>
      <w:sz w:val="15"/>
    </w:rPr>
  </w:style>
  <w:style w:type="paragraph" w:customStyle="1" w:styleId="Note">
    <w:name w:val="Note"/>
    <w:basedOn w:val="Tabletext"/>
    <w:rsid w:val="00C262C8"/>
    <w:pPr>
      <w:keepNext/>
      <w:keepLines/>
      <w:spacing w:before="80" w:after="80" w:line="240" w:lineRule="auto"/>
      <w:ind w:right="80"/>
    </w:pPr>
    <w:rPr>
      <w:rFonts w:eastAsia="Times New Roman" w:cs="Times New Roman"/>
      <w:sz w:val="16"/>
      <w:szCs w:val="24"/>
    </w:rPr>
  </w:style>
  <w:style w:type="paragraph" w:customStyle="1" w:styleId="SideNoteItalicRight">
    <w:name w:val="SideNote (Italic Right)"/>
    <w:basedOn w:val="Normal"/>
    <w:qFormat/>
    <w:rsid w:val="00CA0EB3"/>
    <w:pPr>
      <w:spacing w:before="80" w:after="120" w:line="520" w:lineRule="exact"/>
      <w:contextualSpacing/>
      <w:jc w:val="right"/>
    </w:pPr>
    <w:rPr>
      <w:rFonts w:ascii="Yu Gothic Medium" w:hAnsi="Yu Gothic Medium" w:cstheme="minorBidi"/>
      <w:b/>
      <w:i/>
      <w:color w:val="6C3F99"/>
      <w:sz w:val="36"/>
    </w:rPr>
  </w:style>
  <w:style w:type="paragraph" w:customStyle="1" w:styleId="EmphasisTextCentre">
    <w:name w:val="Emphasis Text (Centre)"/>
    <w:basedOn w:val="EmphasisTextLeft"/>
    <w:next w:val="BodyText"/>
    <w:qFormat/>
    <w:rsid w:val="00C31DC9"/>
    <w:pPr>
      <w:jc w:val="center"/>
    </w:pPr>
  </w:style>
  <w:style w:type="paragraph" w:customStyle="1" w:styleId="EmphasisTextLeft">
    <w:name w:val="Emphasis Text (Left)"/>
    <w:basedOn w:val="Normal-nospace"/>
    <w:next w:val="BodyText"/>
    <w:qFormat/>
    <w:rsid w:val="004E2505"/>
    <w:pPr>
      <w:spacing w:before="80" w:after="120" w:line="520" w:lineRule="exact"/>
      <w:contextualSpacing/>
    </w:pPr>
    <w:rPr>
      <w:rFonts w:ascii="Yu Gothic Medium" w:hAnsi="Yu Gothic Medium"/>
      <w:b/>
      <w:color w:val="000000"/>
      <w:sz w:val="36"/>
    </w:rPr>
  </w:style>
  <w:style w:type="paragraph" w:customStyle="1" w:styleId="EmphasisTextRight">
    <w:name w:val="Emphasis Text (Right)"/>
    <w:basedOn w:val="EmphasisTextLeft"/>
    <w:next w:val="BodyText"/>
    <w:qFormat/>
    <w:rsid w:val="00C31DC9"/>
    <w:pPr>
      <w:jc w:val="right"/>
    </w:pPr>
  </w:style>
  <w:style w:type="paragraph" w:customStyle="1" w:styleId="SideNoteBullet">
    <w:name w:val="SideNote Bullet"/>
    <w:basedOn w:val="EmphasisTextLeft"/>
    <w:rsid w:val="003649DE"/>
    <w:pPr>
      <w:numPr>
        <w:ilvl w:val="1"/>
        <w:numId w:val="22"/>
      </w:numPr>
      <w:spacing w:before="0" w:after="64"/>
    </w:pPr>
  </w:style>
  <w:style w:type="paragraph" w:customStyle="1" w:styleId="SideNoteDash">
    <w:name w:val="SideNote Dash"/>
    <w:basedOn w:val="EmphasisTextLeft"/>
    <w:qFormat/>
    <w:rsid w:val="003649DE"/>
    <w:pPr>
      <w:numPr>
        <w:numId w:val="22"/>
      </w:numPr>
    </w:pPr>
  </w:style>
  <w:style w:type="paragraph" w:customStyle="1" w:styleId="PullOutTitle">
    <w:name w:val="PullOut Title"/>
    <w:basedOn w:val="Normal-nospace"/>
    <w:qFormat/>
    <w:rsid w:val="003649DE"/>
    <w:pPr>
      <w:spacing w:before="90"/>
    </w:pPr>
    <w:rPr>
      <w:rFonts w:cstheme="minorBidi"/>
      <w:b/>
    </w:rPr>
  </w:style>
  <w:style w:type="table" w:customStyle="1" w:styleId="aacTableBanded-Odd-Grey">
    <w:name w:val="aac Table (Banded-Odd-Grey)"/>
    <w:basedOn w:val="TableNormal"/>
    <w:uiPriority w:val="99"/>
    <w:rsid w:val="001B1E74"/>
    <w:pPr>
      <w:spacing w:before="60" w:after="0" w:line="240" w:lineRule="atLeast"/>
      <w:ind w:right="119"/>
    </w:pPr>
    <w:rPr>
      <w:rFonts w:ascii="Arial Narrow" w:hAnsi="Arial Narrow"/>
    </w:rPr>
    <w:tblPr>
      <w:tblStyleRowBandSize w:val="1"/>
      <w:tblBorders>
        <w:bottom w:val="single" w:sz="4" w:space="0" w:color="auto"/>
        <w:insideH w:val="single" w:sz="4" w:space="0" w:color="auto"/>
      </w:tblBorders>
      <w:tblCellMar>
        <w:left w:w="0" w:type="dxa"/>
        <w:right w:w="0" w:type="dxa"/>
      </w:tblCellMar>
    </w:tblPr>
    <w:tblStylePr w:type="firstRow">
      <w:tblPr/>
      <w:tcPr>
        <w:shd w:val="clear" w:color="auto" w:fill="140034"/>
      </w:tcPr>
    </w:tblStylePr>
    <w:tblStylePr w:type="band1Horz">
      <w:tblPr/>
      <w:tcPr>
        <w:shd w:val="clear" w:color="auto" w:fill="F4F4F4"/>
      </w:tcPr>
    </w:tblStylePr>
  </w:style>
  <w:style w:type="table" w:customStyle="1" w:styleId="aacTableBanded-Even-Grey">
    <w:name w:val="aac Table (Banded-Even-Grey)"/>
    <w:basedOn w:val="TableNormal"/>
    <w:uiPriority w:val="99"/>
    <w:rsid w:val="001B1E74"/>
    <w:pPr>
      <w:spacing w:after="0" w:line="240" w:lineRule="auto"/>
    </w:pPr>
    <w:rPr>
      <w:rFonts w:ascii="Arial Narrow" w:hAnsi="Arial Narrow"/>
    </w:rPr>
    <w:tblPr>
      <w:tblStyleRowBandSize w:val="1"/>
      <w:tblBorders>
        <w:bottom w:val="single" w:sz="4" w:space="0" w:color="auto"/>
        <w:insideH w:val="single" w:sz="4" w:space="0" w:color="auto"/>
      </w:tblBorders>
      <w:tblCellMar>
        <w:left w:w="0" w:type="dxa"/>
        <w:right w:w="0" w:type="dxa"/>
      </w:tblCellMar>
    </w:tblPr>
    <w:tblStylePr w:type="firstRow">
      <w:tblPr/>
      <w:tcPr>
        <w:shd w:val="clear" w:color="auto" w:fill="140034"/>
      </w:tcPr>
    </w:tblStylePr>
    <w:tblStylePr w:type="band2Horz">
      <w:tblPr/>
      <w:tcPr>
        <w:shd w:val="clear" w:color="auto" w:fill="F4F4F4"/>
      </w:tcPr>
    </w:tblStylePr>
  </w:style>
  <w:style w:type="numbering" w:customStyle="1" w:styleId="aaHeadingnonumberList">
    <w:name w:val="aa Heading (no number) List"/>
    <w:uiPriority w:val="99"/>
    <w:rsid w:val="000A4CFF"/>
    <w:pPr>
      <w:numPr>
        <w:numId w:val="23"/>
      </w:numPr>
    </w:pPr>
  </w:style>
  <w:style w:type="paragraph" w:customStyle="1" w:styleId="Heading1AP">
    <w:name w:val="Heading 1 (AP)"/>
    <w:basedOn w:val="Heading1nonumber"/>
    <w:next w:val="Introduction"/>
    <w:qFormat/>
    <w:rsid w:val="00B43407"/>
    <w:pPr>
      <w:numPr>
        <w:numId w:val="35"/>
      </w:numPr>
    </w:pPr>
  </w:style>
  <w:style w:type="paragraph" w:customStyle="1" w:styleId="Heading2AP">
    <w:name w:val="Heading 2 (AP)"/>
    <w:basedOn w:val="Heading2nonumber"/>
    <w:next w:val="BodyText"/>
    <w:qFormat/>
    <w:rsid w:val="00B43407"/>
    <w:pPr>
      <w:numPr>
        <w:numId w:val="35"/>
      </w:numPr>
    </w:pPr>
    <w:rPr>
      <w:color w:val="6C3F99"/>
    </w:rPr>
  </w:style>
  <w:style w:type="paragraph" w:customStyle="1" w:styleId="Heading3AP">
    <w:name w:val="Heading 3 (AP)"/>
    <w:basedOn w:val="Heading3nonumber"/>
    <w:next w:val="BodyText"/>
    <w:qFormat/>
    <w:rsid w:val="00B43407"/>
    <w:pPr>
      <w:numPr>
        <w:numId w:val="35"/>
      </w:numPr>
    </w:pPr>
  </w:style>
  <w:style w:type="paragraph" w:customStyle="1" w:styleId="Heading4AP">
    <w:name w:val="Heading 4 (AP)"/>
    <w:basedOn w:val="Heading4nonumber"/>
    <w:next w:val="BodyText"/>
    <w:qFormat/>
    <w:rsid w:val="00B43407"/>
    <w:pPr>
      <w:numPr>
        <w:numId w:val="35"/>
      </w:numPr>
    </w:pPr>
  </w:style>
  <w:style w:type="numbering" w:customStyle="1" w:styleId="aaclstStyleHeadingApp">
    <w:name w:val="aac_lstStyle_HeadingApp"/>
    <w:uiPriority w:val="99"/>
    <w:rsid w:val="00D203CE"/>
    <w:pPr>
      <w:numPr>
        <w:numId w:val="24"/>
      </w:numPr>
    </w:pPr>
  </w:style>
  <w:style w:type="numbering" w:customStyle="1" w:styleId="aaReportListDash">
    <w:name w:val="aa Report List Dash"/>
    <w:uiPriority w:val="99"/>
    <w:rsid w:val="00315CD5"/>
    <w:pPr>
      <w:numPr>
        <w:numId w:val="25"/>
      </w:numPr>
    </w:pPr>
  </w:style>
  <w:style w:type="paragraph" w:customStyle="1" w:styleId="waterMarkaadraftstat">
    <w:name w:val="waterMark_aa_draft_stat"/>
    <w:rsid w:val="004653A9"/>
    <w:rPr>
      <w:rFonts w:eastAsiaTheme="minorEastAsia" w:cs="Times New Roman"/>
      <w:sz w:val="3276"/>
      <w:szCs w:val="3276"/>
      <w:lang w:val="en-US"/>
    </w:rPr>
  </w:style>
  <w:style w:type="paragraph" w:customStyle="1" w:styleId="waterMarkaaCabinetsec">
    <w:name w:val="waterMark_aa_Cabinet_sec"/>
    <w:rsid w:val="004653A9"/>
    <w:rPr>
      <w:rFonts w:eastAsiaTheme="minorEastAsia" w:cs="Times New Roman"/>
      <w:sz w:val="3276"/>
      <w:szCs w:val="3276"/>
      <w:lang w:val="en-US"/>
    </w:rPr>
  </w:style>
  <w:style w:type="paragraph" w:customStyle="1" w:styleId="waterMarkaaCommercialsec">
    <w:name w:val="waterMark_aa_Commercial_sec"/>
    <w:rsid w:val="004653A9"/>
    <w:rPr>
      <w:rFonts w:eastAsiaTheme="minorEastAsia" w:cs="Times New Roman"/>
      <w:sz w:val="3276"/>
      <w:szCs w:val="3276"/>
      <w:lang w:val="en-US"/>
    </w:rPr>
  </w:style>
  <w:style w:type="paragraph" w:customStyle="1" w:styleId="waterMarkaadraftOnlyBodstat">
    <w:name w:val="waterMark_aa_draftOnlyBod_stat"/>
    <w:rsid w:val="004653A9"/>
    <w:rPr>
      <w:rFonts w:eastAsiaTheme="minorEastAsia" w:cs="Times New Roman"/>
      <w:sz w:val="3276"/>
      <w:szCs w:val="3276"/>
      <w:lang w:val="en-US"/>
    </w:rPr>
  </w:style>
  <w:style w:type="paragraph" w:customStyle="1" w:styleId="waterMarkaaConfidentialsec">
    <w:name w:val="waterMark_aa_Confidential_sec"/>
    <w:rsid w:val="004653A9"/>
    <w:rPr>
      <w:rFonts w:eastAsiaTheme="minorEastAsia" w:cs="Times New Roman"/>
      <w:sz w:val="3276"/>
      <w:szCs w:val="3276"/>
      <w:lang w:val="en-US"/>
    </w:rPr>
  </w:style>
  <w:style w:type="paragraph" w:customStyle="1" w:styleId="TableQuoteSource">
    <w:name w:val="Table Quote Source"/>
    <w:basedOn w:val="Tabletext"/>
    <w:qFormat/>
    <w:rsid w:val="00B4599E"/>
    <w:pPr>
      <w:spacing w:before="90" w:after="60" w:line="240" w:lineRule="auto"/>
      <w:ind w:left="0" w:right="200"/>
      <w:jc w:val="right"/>
    </w:pPr>
    <w:rPr>
      <w:rFonts w:cstheme="minorBidi"/>
      <w:i/>
      <w:color w:val="404040" w:themeColor="text1" w:themeTint="BF"/>
    </w:rPr>
  </w:style>
  <w:style w:type="paragraph" w:customStyle="1" w:styleId="TableQuoteSourcesmall">
    <w:name w:val="Table Quote Source (small)"/>
    <w:basedOn w:val="Tabletextsmall"/>
    <w:qFormat/>
    <w:rsid w:val="003B7702"/>
    <w:pPr>
      <w:spacing w:before="0" w:after="120" w:line="180" w:lineRule="exact"/>
      <w:ind w:right="200"/>
      <w:jc w:val="right"/>
    </w:pPr>
    <w:rPr>
      <w:rFonts w:cstheme="minorBidi"/>
      <w:i/>
      <w:color w:val="403F40"/>
      <w:spacing w:val="-10"/>
    </w:rPr>
  </w:style>
  <w:style w:type="paragraph" w:customStyle="1" w:styleId="TableQuote">
    <w:name w:val="Table Quote"/>
    <w:basedOn w:val="Normal-nospace"/>
    <w:qFormat/>
    <w:rsid w:val="00F63686"/>
    <w:pPr>
      <w:numPr>
        <w:numId w:val="31"/>
      </w:numPr>
      <w:spacing w:before="60" w:line="192" w:lineRule="auto"/>
      <w:ind w:right="199"/>
    </w:pPr>
    <w:rPr>
      <w:rFonts w:ascii="Yu Gothic Medium" w:hAnsi="Yu Gothic Medium" w:cstheme="minorBidi"/>
      <w:i/>
      <w:color w:val="404040" w:themeColor="text1" w:themeTint="BF"/>
      <w:sz w:val="19"/>
    </w:rPr>
  </w:style>
  <w:style w:type="paragraph" w:customStyle="1" w:styleId="QuoteListBullet">
    <w:name w:val="Quote List Bullet"/>
    <w:basedOn w:val="Quote"/>
    <w:qFormat/>
    <w:rsid w:val="0020185D"/>
    <w:pPr>
      <w:numPr>
        <w:numId w:val="26"/>
      </w:numPr>
      <w:spacing w:before="0"/>
      <w:ind w:left="777" w:hanging="357"/>
      <w:contextualSpacing/>
    </w:pPr>
  </w:style>
  <w:style w:type="paragraph" w:customStyle="1" w:styleId="QuoteSource">
    <w:name w:val="Quote Source"/>
    <w:basedOn w:val="Quote"/>
    <w:next w:val="BodyText"/>
    <w:qFormat/>
    <w:rsid w:val="0020185D"/>
    <w:pPr>
      <w:contextualSpacing/>
      <w:jc w:val="right"/>
    </w:pPr>
  </w:style>
  <w:style w:type="paragraph" w:customStyle="1" w:styleId="TableQuotesmall">
    <w:name w:val="Table Quote (small)"/>
    <w:basedOn w:val="Normal-nospace"/>
    <w:qFormat/>
    <w:rsid w:val="00A40703"/>
    <w:pPr>
      <w:numPr>
        <w:numId w:val="33"/>
      </w:numPr>
      <w:spacing w:before="60" w:after="80" w:line="180" w:lineRule="exact"/>
    </w:pPr>
    <w:rPr>
      <w:rFonts w:ascii="Yu Gothic Medium" w:eastAsia="Yu Gothic Medium" w:hAnsi="Yu Gothic Medium" w:cstheme="minorBidi"/>
      <w:i/>
      <w:color w:val="403F40"/>
      <w:spacing w:val="-12"/>
      <w:sz w:val="15"/>
    </w:rPr>
  </w:style>
  <w:style w:type="paragraph" w:customStyle="1" w:styleId="TableQuoteBullet">
    <w:name w:val="Table Quote Bullet"/>
    <w:basedOn w:val="Normal-nospace"/>
    <w:qFormat/>
    <w:rsid w:val="00F63686"/>
    <w:pPr>
      <w:numPr>
        <w:ilvl w:val="1"/>
        <w:numId w:val="31"/>
      </w:numPr>
      <w:spacing w:before="60" w:after="60" w:line="192" w:lineRule="auto"/>
      <w:ind w:right="200"/>
      <w:contextualSpacing/>
    </w:pPr>
    <w:rPr>
      <w:rFonts w:ascii="Yu Gothic Medium" w:hAnsi="Yu Gothic Medium" w:cstheme="minorBidi"/>
      <w:i/>
      <w:color w:val="404040" w:themeColor="text1" w:themeTint="BF"/>
      <w:sz w:val="19"/>
    </w:rPr>
  </w:style>
  <w:style w:type="paragraph" w:customStyle="1" w:styleId="TableQuoteBulletsmall">
    <w:name w:val="Table Quote Bullet (small)"/>
    <w:basedOn w:val="Normal-nospace"/>
    <w:qFormat/>
    <w:rsid w:val="00A40703"/>
    <w:pPr>
      <w:numPr>
        <w:ilvl w:val="1"/>
        <w:numId w:val="33"/>
      </w:numPr>
      <w:spacing w:before="40" w:after="60" w:line="192" w:lineRule="auto"/>
      <w:contextualSpacing/>
    </w:pPr>
    <w:rPr>
      <w:rFonts w:ascii="Yu Gothic Medium" w:eastAsia="Yu Gothic Medium" w:hAnsi="Yu Gothic Medium" w:cstheme="minorBidi"/>
      <w:i/>
      <w:color w:val="403F40"/>
      <w:spacing w:val="-10"/>
      <w:sz w:val="15"/>
    </w:rPr>
  </w:style>
  <w:style w:type="paragraph" w:customStyle="1" w:styleId="SubHeading1">
    <w:name w:val="Sub Heading 1"/>
    <w:basedOn w:val="rgb20052"/>
    <w:qFormat/>
    <w:rsid w:val="007F14E3"/>
    <w:pPr>
      <w:spacing w:line="240" w:lineRule="auto"/>
      <w:contextualSpacing/>
    </w:pPr>
    <w:rPr>
      <w:sz w:val="40"/>
    </w:rPr>
  </w:style>
  <w:style w:type="paragraph" w:customStyle="1" w:styleId="tagglossaryChpt">
    <w:name w:val="tag_glossary_Chpt"/>
    <w:basedOn w:val="spacer"/>
    <w:rsid w:val="00A843B7"/>
    <w:pPr>
      <w:keepNext/>
      <w:pageBreakBefore/>
    </w:pPr>
  </w:style>
  <w:style w:type="paragraph" w:customStyle="1" w:styleId="tagbiblioChpt">
    <w:name w:val="tag_biblio_Chpt"/>
    <w:basedOn w:val="spacer"/>
    <w:qFormat/>
    <w:rsid w:val="00A843B7"/>
    <w:pPr>
      <w:keepNext/>
      <w:pageBreakBefore/>
    </w:pPr>
  </w:style>
  <w:style w:type="paragraph" w:customStyle="1" w:styleId="tagrefsChpt">
    <w:name w:val="tag_refs_Chpt"/>
    <w:basedOn w:val="spacer"/>
    <w:qFormat/>
    <w:rsid w:val="00A843B7"/>
    <w:pPr>
      <w:keepNext/>
      <w:pageBreakBefore/>
    </w:pPr>
  </w:style>
  <w:style w:type="paragraph" w:customStyle="1" w:styleId="tagworksCitedChpt">
    <w:name w:val="tag_worksCited_Chpt"/>
    <w:basedOn w:val="spacer"/>
    <w:qFormat/>
    <w:rsid w:val="00A843B7"/>
    <w:pPr>
      <w:keepNext/>
      <w:pageBreakBefore/>
    </w:pPr>
  </w:style>
  <w:style w:type="paragraph" w:customStyle="1" w:styleId="TOCTOFSubHeading">
    <w:name w:val="TOC TOFSubHeading"/>
    <w:basedOn w:val="Normal-nospace"/>
    <w:qFormat/>
    <w:rsid w:val="00CD5804"/>
    <w:pPr>
      <w:keepNext/>
      <w:spacing w:before="240" w:after="60" w:line="260" w:lineRule="exact"/>
    </w:pPr>
    <w:rPr>
      <w:rFonts w:ascii="Yu Gothic Medium" w:hAnsi="Yu Gothic Medium"/>
      <w:b/>
    </w:rPr>
  </w:style>
  <w:style w:type="paragraph" w:customStyle="1" w:styleId="Heading2nonumber">
    <w:name w:val="Heading 2 (no number)"/>
    <w:basedOn w:val="rgb10863153"/>
    <w:next w:val="BodyText"/>
    <w:qFormat/>
    <w:rsid w:val="00F31568"/>
    <w:pPr>
      <w:keepNext/>
      <w:numPr>
        <w:ilvl w:val="1"/>
        <w:numId w:val="23"/>
      </w:numPr>
      <w:spacing w:before="360" w:after="180" w:line="480" w:lineRule="exact"/>
    </w:pPr>
    <w:rPr>
      <w:rFonts w:ascii="Yu Gothic Medium" w:hAnsi="Yu Gothic Medium"/>
      <w:color w:val="6C3E99"/>
      <w:sz w:val="36"/>
    </w:rPr>
  </w:style>
  <w:style w:type="paragraph" w:customStyle="1" w:styleId="Heading3nonumber">
    <w:name w:val="Heading 3 (no number)"/>
    <w:basedOn w:val="Normal-nospace"/>
    <w:next w:val="BodyText"/>
    <w:qFormat/>
    <w:rsid w:val="00481B05"/>
    <w:pPr>
      <w:keepNext/>
      <w:numPr>
        <w:ilvl w:val="2"/>
        <w:numId w:val="23"/>
      </w:numPr>
      <w:spacing w:before="360" w:after="180" w:line="420" w:lineRule="exact"/>
    </w:pPr>
    <w:rPr>
      <w:rFonts w:ascii="Yu Gothic Medium" w:hAnsi="Yu Gothic Medium"/>
      <w:b/>
      <w:color w:val="auto"/>
      <w:sz w:val="32"/>
    </w:rPr>
  </w:style>
  <w:style w:type="paragraph" w:customStyle="1" w:styleId="Heading4nonumber">
    <w:name w:val="Heading 4 (no number)"/>
    <w:basedOn w:val="Normal-nospace"/>
    <w:next w:val="BodyText"/>
    <w:qFormat/>
    <w:rsid w:val="00591A9A"/>
    <w:pPr>
      <w:keepNext/>
      <w:numPr>
        <w:ilvl w:val="3"/>
        <w:numId w:val="23"/>
      </w:numPr>
      <w:spacing w:before="360" w:after="180" w:line="320" w:lineRule="exact"/>
      <w:contextualSpacing/>
    </w:pPr>
    <w:rPr>
      <w:rFonts w:ascii="Yu Gothic" w:hAnsi="Yu Gothic"/>
      <w:b/>
      <w:color w:val="auto"/>
      <w:sz w:val="24"/>
    </w:rPr>
  </w:style>
  <w:style w:type="paragraph" w:customStyle="1" w:styleId="LetterHeading2">
    <w:name w:val="Letter Heading 2"/>
    <w:basedOn w:val="LetterHeading1"/>
    <w:next w:val="BodyText"/>
    <w:qFormat/>
    <w:rsid w:val="002E2EDB"/>
    <w:rPr>
      <w:i/>
    </w:rPr>
  </w:style>
  <w:style w:type="paragraph" w:customStyle="1" w:styleId="LetterHeading3">
    <w:name w:val="Letter Heading 3"/>
    <w:basedOn w:val="LetterHeading1"/>
    <w:next w:val="BodyText"/>
    <w:qFormat/>
    <w:rsid w:val="002E2EDB"/>
    <w:rPr>
      <w:b w:val="0"/>
      <w:i/>
    </w:rPr>
  </w:style>
  <w:style w:type="paragraph" w:customStyle="1" w:styleId="FigureSubHeadings">
    <w:name w:val="Figure (Sub Headings)"/>
    <w:basedOn w:val="Normal-nospace"/>
    <w:qFormat/>
    <w:rsid w:val="004C0A5E"/>
    <w:pPr>
      <w:keepNext/>
      <w:spacing w:before="60" w:after="120" w:line="240" w:lineRule="auto"/>
      <w:jc w:val="center"/>
    </w:pPr>
    <w:rPr>
      <w:sz w:val="18"/>
    </w:rPr>
  </w:style>
  <w:style w:type="table" w:customStyle="1" w:styleId="aacTablenolines">
    <w:name w:val="aac Table (no lines)"/>
    <w:basedOn w:val="TableNormal"/>
    <w:uiPriority w:val="99"/>
    <w:rsid w:val="00A24D9C"/>
    <w:pPr>
      <w:spacing w:after="0" w:line="240" w:lineRule="auto"/>
    </w:pPr>
    <w:tblPr>
      <w:tblCellMar>
        <w:left w:w="0" w:type="dxa"/>
        <w:right w:w="0" w:type="dxa"/>
      </w:tblCellMar>
    </w:tblPr>
  </w:style>
  <w:style w:type="character" w:customStyle="1" w:styleId="Notelabel">
    <w:name w:val="Note label"/>
    <w:basedOn w:val="DefaultParagraphFont"/>
    <w:uiPriority w:val="1"/>
    <w:qFormat/>
    <w:rsid w:val="00B44A58"/>
    <w:rPr>
      <w:b/>
      <w:vertAlign w:val="superscript"/>
    </w:rPr>
  </w:style>
  <w:style w:type="paragraph" w:customStyle="1" w:styleId="LetterConfidentiality">
    <w:name w:val="Letter Confidentiality"/>
    <w:basedOn w:val="BodyText"/>
    <w:qFormat/>
    <w:rsid w:val="007923D8"/>
    <w:pPr>
      <w:keepNext/>
    </w:pPr>
    <w:rPr>
      <w:color w:val="000000"/>
    </w:rPr>
  </w:style>
  <w:style w:type="paragraph" w:customStyle="1" w:styleId="rgb20052">
    <w:name w:val="rgb_(20_0_52)"/>
    <w:basedOn w:val="Normal-nospace"/>
    <w:qFormat/>
    <w:rsid w:val="00CB4DC2"/>
    <w:rPr>
      <w:color w:val="140034"/>
    </w:rPr>
  </w:style>
  <w:style w:type="paragraph" w:customStyle="1" w:styleId="CpContactDetailsWeb">
    <w:name w:val="Cp Contact Details Web"/>
    <w:basedOn w:val="Normalrgb"/>
    <w:qFormat/>
    <w:rsid w:val="005A335C"/>
    <w:pPr>
      <w:spacing w:line="250" w:lineRule="exact"/>
    </w:pPr>
  </w:style>
  <w:style w:type="paragraph" w:customStyle="1" w:styleId="CpContactDetailsHeading">
    <w:name w:val="Cp Contact Details Heading"/>
    <w:basedOn w:val="Normalrgb"/>
    <w:next w:val="CpContactDetails"/>
    <w:qFormat/>
    <w:rsid w:val="005A335C"/>
    <w:pPr>
      <w:spacing w:line="250" w:lineRule="exact"/>
    </w:pPr>
    <w:rPr>
      <w:b/>
    </w:rPr>
  </w:style>
  <w:style w:type="paragraph" w:customStyle="1" w:styleId="tagaaRptTestStyle00">
    <w:name w:val="tag_aa_RptTestStyle_#?_00"/>
    <w:basedOn w:val="BodyText"/>
    <w:qFormat/>
    <w:rsid w:val="00E331FB"/>
    <w:pPr>
      <w:spacing w:before="0" w:after="0" w:line="240" w:lineRule="auto"/>
    </w:pPr>
    <w:rPr>
      <w:sz w:val="16"/>
    </w:rPr>
  </w:style>
  <w:style w:type="paragraph" w:customStyle="1" w:styleId="pmTest">
    <w:name w:val="pmTest"/>
    <w:basedOn w:val="BodyText"/>
    <w:qFormat/>
    <w:rsid w:val="00637DF3"/>
  </w:style>
  <w:style w:type="paragraph" w:customStyle="1" w:styleId="Heading1nonumber">
    <w:name w:val="Heading 1 (no number)"/>
    <w:basedOn w:val="rgb20052"/>
    <w:next w:val="Introduction"/>
    <w:qFormat/>
    <w:rsid w:val="0086084B"/>
    <w:pPr>
      <w:keepNext/>
      <w:pageBreakBefore/>
      <w:numPr>
        <w:numId w:val="23"/>
      </w:numPr>
      <w:spacing w:after="280" w:line="680" w:lineRule="exact"/>
    </w:pPr>
    <w:rPr>
      <w:rFonts w:ascii="Yu Gothic Medium" w:hAnsi="Yu Gothic Medium"/>
      <w:sz w:val="56"/>
    </w:rPr>
  </w:style>
  <w:style w:type="paragraph" w:customStyle="1" w:styleId="rgb10863153">
    <w:name w:val="rgb_(108_63_153)"/>
    <w:basedOn w:val="Normal-nospace"/>
    <w:qFormat/>
    <w:rsid w:val="004E7428"/>
    <w:rPr>
      <w:color w:val="6C3F99"/>
    </w:rPr>
  </w:style>
  <w:style w:type="paragraph" w:customStyle="1" w:styleId="Normalrgb">
    <w:name w:val="Normal_rgb"/>
    <w:basedOn w:val="Normal-nospace"/>
    <w:qFormat/>
    <w:rsid w:val="00C36E42"/>
    <w:rPr>
      <w:color w:val="9D85BE"/>
    </w:rPr>
  </w:style>
  <w:style w:type="table" w:customStyle="1" w:styleId="aacTableBanded-Odd-Purple">
    <w:name w:val="aac Table (Banded-Odd-Purple)"/>
    <w:basedOn w:val="aacTableBasic"/>
    <w:uiPriority w:val="99"/>
    <w:rsid w:val="00BD4F69"/>
    <w:pPr>
      <w:spacing w:line="240" w:lineRule="auto"/>
    </w:pPr>
    <w:tblPr>
      <w:tblStyleRowBandSize w:val="1"/>
    </w:tblPr>
    <w:tcPr>
      <w:shd w:val="clear" w:color="auto" w:fill="auto"/>
    </w:tcPr>
    <w:tblStylePr w:type="firstRow">
      <w:pPr>
        <w:jc w:val="left"/>
      </w:pPr>
      <w:rPr>
        <w:color w:val="FFFFFF" w:themeColor="background1"/>
      </w:rPr>
      <w:tblPr/>
      <w:tcPr>
        <w:shd w:val="clear" w:color="auto" w:fill="140034"/>
      </w:tcPr>
    </w:tblStylePr>
    <w:tblStylePr w:type="band1Horz">
      <w:tblPr/>
      <w:tcPr>
        <w:shd w:val="clear" w:color="auto" w:fill="EBE7F2"/>
      </w:tcPr>
    </w:tblStylePr>
  </w:style>
  <w:style w:type="table" w:customStyle="1" w:styleId="aacTableBanded-Even-Purple">
    <w:name w:val="aac Table (Banded-Even-Purple)"/>
    <w:basedOn w:val="aacTableBasic"/>
    <w:uiPriority w:val="99"/>
    <w:rsid w:val="00BD4F69"/>
    <w:pPr>
      <w:spacing w:line="240" w:lineRule="auto"/>
    </w:pPr>
    <w:tblPr>
      <w:tblStyleRowBandSize w:val="1"/>
    </w:tblPr>
    <w:tcPr>
      <w:shd w:val="clear" w:color="auto" w:fill="auto"/>
    </w:tcPr>
    <w:tblStylePr w:type="firstRow">
      <w:pPr>
        <w:jc w:val="left"/>
      </w:pPr>
      <w:rPr>
        <w:color w:val="FFFFFF" w:themeColor="background1"/>
      </w:rPr>
      <w:tblPr/>
      <w:tcPr>
        <w:shd w:val="clear" w:color="auto" w:fill="140034"/>
      </w:tcPr>
    </w:tblStylePr>
    <w:tblStylePr w:type="band2Horz">
      <w:tblPr/>
      <w:tcPr>
        <w:shd w:val="clear" w:color="auto" w:fill="EBE7F2"/>
      </w:tcPr>
    </w:tblStylePr>
  </w:style>
  <w:style w:type="paragraph" w:customStyle="1" w:styleId="tagcaseStudy">
    <w:name w:val="tag_caseStudy"/>
    <w:basedOn w:val="spacer"/>
    <w:qFormat/>
    <w:rsid w:val="00D5491E"/>
  </w:style>
  <w:style w:type="paragraph" w:customStyle="1" w:styleId="HeadingCaseStudy">
    <w:name w:val="Heading (CaseStudy)"/>
    <w:basedOn w:val="BodyText"/>
    <w:qFormat/>
    <w:rsid w:val="00116A0E"/>
    <w:pPr>
      <w:keepNext/>
    </w:pPr>
    <w:rPr>
      <w:rFonts w:ascii="Yu Gothic Medium" w:hAnsi="Yu Gothic Medium"/>
      <w:b/>
    </w:rPr>
  </w:style>
  <w:style w:type="paragraph" w:customStyle="1" w:styleId="tagtoc">
    <w:name w:val="tag_toc"/>
    <w:basedOn w:val="spacer"/>
    <w:qFormat/>
    <w:rsid w:val="00E078BD"/>
  </w:style>
  <w:style w:type="paragraph" w:customStyle="1" w:styleId="tagaastnletter">
    <w:name w:val="tag_aa_stn_letter"/>
    <w:basedOn w:val="spacer"/>
    <w:qFormat/>
    <w:rsid w:val="005E3D9D"/>
  </w:style>
  <w:style w:type="paragraph" w:customStyle="1" w:styleId="tagaastnmemo">
    <w:name w:val="tag_aa_stn_memo"/>
    <w:basedOn w:val="spacer"/>
    <w:qFormat/>
    <w:rsid w:val="005E3D9D"/>
  </w:style>
  <w:style w:type="paragraph" w:customStyle="1" w:styleId="tagaastnbn">
    <w:name w:val="tag_aa_stn_bn"/>
    <w:basedOn w:val="spacer"/>
    <w:qFormat/>
    <w:rsid w:val="005E3D9D"/>
  </w:style>
  <w:style w:type="numbering" w:customStyle="1" w:styleId="aaclstStyleTableQuote">
    <w:name w:val="aac_lstStyle_TableQuote"/>
    <w:uiPriority w:val="99"/>
    <w:rsid w:val="00F63686"/>
    <w:pPr>
      <w:numPr>
        <w:numId w:val="31"/>
      </w:numPr>
    </w:pPr>
  </w:style>
  <w:style w:type="numbering" w:customStyle="1" w:styleId="aaclstStyleTableQuoteSmall">
    <w:name w:val="aac_lstStyle_TableQuoteSmall"/>
    <w:uiPriority w:val="99"/>
    <w:rsid w:val="00A40703"/>
    <w:pPr>
      <w:numPr>
        <w:numId w:val="32"/>
      </w:numPr>
    </w:pPr>
  </w:style>
  <w:style w:type="character" w:customStyle="1" w:styleId="SourceChar">
    <w:name w:val="Source Char"/>
    <w:basedOn w:val="DefaultParagraphFont"/>
    <w:link w:val="Source"/>
    <w:locked/>
    <w:rsid w:val="00B7276D"/>
    <w:rPr>
      <w:rFonts w:ascii="Yu Gothic Medium" w:hAnsi="Yu Gothic Medium" w:cs="Arial"/>
      <w:i/>
      <w:color w:val="000100"/>
      <w:sz w:val="16"/>
    </w:rPr>
  </w:style>
  <w:style w:type="paragraph" w:customStyle="1" w:styleId="Glossary">
    <w:name w:val="Glossary"/>
    <w:basedOn w:val="Normal"/>
    <w:qFormat/>
    <w:rsid w:val="009D6A84"/>
    <w:pPr>
      <w:spacing w:before="40" w:after="40" w:line="240" w:lineRule="exact"/>
      <w:ind w:left="40"/>
    </w:pPr>
    <w:rPr>
      <w:rFonts w:ascii="Yu Gothic Medium" w:hAnsi="Yu Gothic Medium"/>
      <w:sz w:val="18"/>
    </w:rPr>
  </w:style>
  <w:style w:type="paragraph" w:customStyle="1" w:styleId="tagaaBrief">
    <w:name w:val="tag_aaBrief"/>
    <w:basedOn w:val="spacer"/>
    <w:qFormat/>
    <w:rsid w:val="001C6912"/>
  </w:style>
  <w:style w:type="paragraph" w:customStyle="1" w:styleId="TOCHeadingBrief">
    <w:name w:val="TOC Heading Brief"/>
    <w:basedOn w:val="Heading1nonumber"/>
    <w:qFormat/>
    <w:rsid w:val="002B78C9"/>
    <w:pPr>
      <w:spacing w:after="120"/>
    </w:pPr>
    <w:rPr>
      <w:color w:val="6C3F99"/>
    </w:rPr>
  </w:style>
  <w:style w:type="paragraph" w:customStyle="1" w:styleId="Heading5nonumber">
    <w:name w:val="Heading 5 (no number)"/>
    <w:basedOn w:val="Normal-nospace"/>
    <w:next w:val="BodyText"/>
    <w:qFormat/>
    <w:rsid w:val="003D2B0E"/>
    <w:pPr>
      <w:keepNext/>
      <w:keepLines/>
      <w:numPr>
        <w:ilvl w:val="4"/>
        <w:numId w:val="23"/>
      </w:numPr>
      <w:spacing w:before="240" w:line="240" w:lineRule="atLeast"/>
    </w:pPr>
    <w:rPr>
      <w:rFonts w:ascii="Yu Gothic" w:eastAsia="Yu Gothic" w:hAnsi="Yu Gothic"/>
      <w:b/>
      <w:i/>
      <w:sz w:val="24"/>
    </w:rPr>
  </w:style>
  <w:style w:type="paragraph" w:customStyle="1" w:styleId="Heading5AP">
    <w:name w:val="Heading 5 (AP)"/>
    <w:basedOn w:val="Heading5nonumber"/>
    <w:next w:val="BodyText"/>
    <w:qFormat/>
    <w:rsid w:val="008D2BA5"/>
    <w:pPr>
      <w:numPr>
        <w:numId w:val="37"/>
      </w:numPr>
    </w:pPr>
  </w:style>
  <w:style w:type="paragraph" w:customStyle="1" w:styleId="Heading5ES">
    <w:name w:val="Heading 5 (ES)"/>
    <w:basedOn w:val="Heading5nonumber"/>
    <w:next w:val="BodyText"/>
    <w:qFormat/>
    <w:rsid w:val="00FD6AD2"/>
    <w:pPr>
      <w:numPr>
        <w:numId w:val="34"/>
      </w:numPr>
    </w:pPr>
  </w:style>
  <w:style w:type="paragraph" w:customStyle="1" w:styleId="aawaterMarkTextsec">
    <w:name w:val="aa_waterMarkText_sec"/>
    <w:basedOn w:val="Normal-nospace"/>
    <w:qFormat/>
    <w:rsid w:val="005234F5"/>
    <w:pPr>
      <w:spacing w:before="40" w:line="240" w:lineRule="auto"/>
    </w:pPr>
    <w:rPr>
      <w:color w:val="939393"/>
      <w:sz w:val="24"/>
    </w:rPr>
  </w:style>
  <w:style w:type="paragraph" w:customStyle="1" w:styleId="aawaterMarkTextstat">
    <w:name w:val="aa_waterMarkText_stat"/>
    <w:basedOn w:val="Normal-nospace"/>
    <w:qFormat/>
    <w:rsid w:val="005234F5"/>
    <w:pPr>
      <w:spacing w:line="240" w:lineRule="auto"/>
      <w:jc w:val="center"/>
    </w:pPr>
    <w:rPr>
      <w:color w:val="B4B4B4"/>
      <w:sz w:val="72"/>
    </w:rPr>
  </w:style>
  <w:style w:type="character" w:customStyle="1" w:styleId="ListBulletChar">
    <w:name w:val="List Bullet Char"/>
    <w:aliases w:val="List Bullet Char1 Char,List Bullet Char Char Char,List Bullet Char1 Char Char Char,List Bullet Char Char Char1 Char Char,List Bullet Char Char Char Char Char Char,List Bullet Char3 Char,List Bullet Char2 Char Char,List Bullet1 Char"/>
    <w:basedOn w:val="DefaultParagraphFont"/>
    <w:link w:val="ListBullet"/>
    <w:uiPriority w:val="99"/>
    <w:rsid w:val="00B4453F"/>
    <w:rPr>
      <w:rFonts w:ascii="Arial Narrow" w:hAnsi="Arial Narrow" w:cs="Arial"/>
    </w:rPr>
  </w:style>
  <w:style w:type="paragraph" w:styleId="Revision">
    <w:name w:val="Revision"/>
    <w:hidden/>
    <w:uiPriority w:val="99"/>
    <w:semiHidden/>
    <w:rsid w:val="00016EA6"/>
    <w:pPr>
      <w:spacing w:after="0" w:line="240" w:lineRule="auto"/>
    </w:pPr>
    <w:rPr>
      <w:rFonts w:ascii="Arial Narrow" w:hAnsi="Arial Narrow" w:cs="Arial"/>
    </w:rPr>
  </w:style>
  <w:style w:type="paragraph" w:customStyle="1" w:styleId="BasicParagraph">
    <w:name w:val="[Basic Paragraph]"/>
    <w:basedOn w:val="Normal"/>
    <w:uiPriority w:val="99"/>
    <w:rsid w:val="005B5FF2"/>
    <w:pPr>
      <w:autoSpaceDE w:val="0"/>
      <w:autoSpaceDN w:val="0"/>
      <w:adjustRightInd w:val="0"/>
      <w:spacing w:before="0" w:after="0" w:line="288" w:lineRule="auto"/>
      <w:textAlignment w:val="center"/>
    </w:pPr>
    <w:rPr>
      <w:rFonts w:ascii="MinionPro-Regular" w:hAnsi="MinionPro-Regular" w:cs="MinionPro-Regular"/>
      <w:color w:val="000000"/>
      <w:sz w:val="24"/>
      <w:szCs w:val="24"/>
      <w:lang w:val="en-US"/>
    </w:rPr>
  </w:style>
  <w:style w:type="paragraph" w:customStyle="1" w:styleId="Tablebullet">
    <w:name w:val="Table bullet"/>
    <w:basedOn w:val="Normal"/>
    <w:rsid w:val="000A5665"/>
    <w:pPr>
      <w:numPr>
        <w:numId w:val="3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163512">
      <w:bodyDiv w:val="1"/>
      <w:marLeft w:val="0"/>
      <w:marRight w:val="0"/>
      <w:marTop w:val="0"/>
      <w:marBottom w:val="0"/>
      <w:divBdr>
        <w:top w:val="none" w:sz="0" w:space="0" w:color="auto"/>
        <w:left w:val="none" w:sz="0" w:space="0" w:color="auto"/>
        <w:bottom w:val="none" w:sz="0" w:space="0" w:color="auto"/>
        <w:right w:val="none" w:sz="0" w:space="0" w:color="auto"/>
      </w:divBdr>
    </w:div>
    <w:div w:id="869688290">
      <w:bodyDiv w:val="1"/>
      <w:marLeft w:val="0"/>
      <w:marRight w:val="0"/>
      <w:marTop w:val="0"/>
      <w:marBottom w:val="0"/>
      <w:divBdr>
        <w:top w:val="none" w:sz="0" w:space="0" w:color="auto"/>
        <w:left w:val="none" w:sz="0" w:space="0" w:color="auto"/>
        <w:bottom w:val="none" w:sz="0" w:space="0" w:color="auto"/>
        <w:right w:val="none" w:sz="0" w:space="0" w:color="auto"/>
      </w:divBdr>
    </w:div>
    <w:div w:id="913012545">
      <w:bodyDiv w:val="1"/>
      <w:marLeft w:val="0"/>
      <w:marRight w:val="0"/>
      <w:marTop w:val="0"/>
      <w:marBottom w:val="0"/>
      <w:divBdr>
        <w:top w:val="none" w:sz="0" w:space="0" w:color="auto"/>
        <w:left w:val="none" w:sz="0" w:space="0" w:color="auto"/>
        <w:bottom w:val="none" w:sz="0" w:space="0" w:color="auto"/>
        <w:right w:val="none" w:sz="0" w:space="0" w:color="auto"/>
      </w:divBdr>
    </w:div>
    <w:div w:id="1237547077">
      <w:bodyDiv w:val="1"/>
      <w:marLeft w:val="0"/>
      <w:marRight w:val="0"/>
      <w:marTop w:val="0"/>
      <w:marBottom w:val="0"/>
      <w:divBdr>
        <w:top w:val="none" w:sz="0" w:space="0" w:color="auto"/>
        <w:left w:val="none" w:sz="0" w:space="0" w:color="auto"/>
        <w:bottom w:val="none" w:sz="0" w:space="0" w:color="auto"/>
        <w:right w:val="none" w:sz="0" w:space="0" w:color="auto"/>
      </w:divBdr>
    </w:div>
    <w:div w:id="1587417947">
      <w:bodyDiv w:val="1"/>
      <w:marLeft w:val="0"/>
      <w:marRight w:val="0"/>
      <w:marTop w:val="0"/>
      <w:marBottom w:val="0"/>
      <w:divBdr>
        <w:top w:val="none" w:sz="0" w:space="0" w:color="auto"/>
        <w:left w:val="none" w:sz="0" w:space="0" w:color="auto"/>
        <w:bottom w:val="none" w:sz="0" w:space="0" w:color="auto"/>
        <w:right w:val="none" w:sz="0" w:space="0" w:color="auto"/>
      </w:divBdr>
    </w:div>
    <w:div w:id="1692608268">
      <w:bodyDiv w:val="1"/>
      <w:marLeft w:val="0"/>
      <w:marRight w:val="0"/>
      <w:marTop w:val="0"/>
      <w:marBottom w:val="0"/>
      <w:divBdr>
        <w:top w:val="none" w:sz="0" w:space="0" w:color="auto"/>
        <w:left w:val="none" w:sz="0" w:space="0" w:color="auto"/>
        <w:bottom w:val="none" w:sz="0" w:space="0" w:color="auto"/>
        <w:right w:val="none" w:sz="0" w:space="0" w:color="auto"/>
      </w:divBdr>
    </w:div>
    <w:div w:id="1761758800">
      <w:bodyDiv w:val="1"/>
      <w:marLeft w:val="0"/>
      <w:marRight w:val="0"/>
      <w:marTop w:val="0"/>
      <w:marBottom w:val="0"/>
      <w:divBdr>
        <w:top w:val="none" w:sz="0" w:space="0" w:color="auto"/>
        <w:left w:val="none" w:sz="0" w:space="0" w:color="auto"/>
        <w:bottom w:val="none" w:sz="0" w:space="0" w:color="auto"/>
        <w:right w:val="none" w:sz="0" w:space="0" w:color="auto"/>
      </w:divBdr>
    </w:div>
    <w:div w:id="1959557174">
      <w:bodyDiv w:val="1"/>
      <w:marLeft w:val="0"/>
      <w:marRight w:val="0"/>
      <w:marTop w:val="0"/>
      <w:marBottom w:val="0"/>
      <w:divBdr>
        <w:top w:val="none" w:sz="0" w:space="0" w:color="auto"/>
        <w:left w:val="none" w:sz="0" w:space="0" w:color="auto"/>
        <w:bottom w:val="none" w:sz="0" w:space="0" w:color="auto"/>
        <w:right w:val="none" w:sz="0" w:space="0" w:color="auto"/>
      </w:divBdr>
    </w:div>
    <w:div w:id="2088114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header" Target="header6.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pmc.gov.au/resources/care-and-support-economy-state-pla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AA%20GeneralReport.dotx" TargetMode="External"/></Relationships>
</file>

<file path=word/theme/theme1.xml><?xml version="1.0" encoding="utf-8"?>
<a:theme xmlns:a="http://schemas.openxmlformats.org/drawingml/2006/main" name="AAC Theme">
  <a:themeElements>
    <a:clrScheme name="AAC">
      <a:dk1>
        <a:sysClr val="windowText" lastClr="000000"/>
      </a:dk1>
      <a:lt1>
        <a:sysClr val="window" lastClr="FFFFFF"/>
      </a:lt1>
      <a:dk2>
        <a:srgbClr val="6C3F99"/>
      </a:dk2>
      <a:lt2>
        <a:srgbClr val="140034"/>
      </a:lt2>
      <a:accent1>
        <a:srgbClr val="9D85BE"/>
      </a:accent1>
      <a:accent2>
        <a:srgbClr val="7D7D7D"/>
      </a:accent2>
      <a:accent3>
        <a:srgbClr val="C8C8C8"/>
      </a:accent3>
      <a:accent4>
        <a:srgbClr val="006A9F"/>
      </a:accent4>
      <a:accent5>
        <a:srgbClr val="7BBDD6"/>
      </a:accent5>
      <a:accent6>
        <a:srgbClr val="428D52"/>
      </a:accent6>
      <a:hlink>
        <a:srgbClr val="7BBDD6"/>
      </a:hlink>
      <a:folHlink>
        <a:srgbClr val="9FD18B"/>
      </a:folHlink>
    </a:clrScheme>
    <a:fontScheme name="AAC Fonts">
      <a:majorFont>
        <a:latin typeface="Yu Gothic Medium"/>
        <a:ea typeface=""/>
        <a:cs typeface=""/>
      </a:majorFont>
      <a:minorFont>
        <a:latin typeface="Arial Narr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RGB = 0,0,0">
      <a:srgbClr val="000000"/>
    </a:custClr>
    <a:custClr name="RGB = 255,255,255">
      <a:srgbClr val="FFFFFF"/>
    </a:custClr>
    <a:custClr name="RGB = 20,0,52">
      <a:srgbClr val="140034"/>
    </a:custClr>
    <a:custClr name="RGB = 108,63,153">
      <a:srgbClr val="6C3F99"/>
    </a:custClr>
    <a:custClr name="RGB = 157,133,190">
      <a:srgbClr val="9D85BE"/>
    </a:custClr>
    <a:custClr name="RGB = 204,195,220">
      <a:srgbClr val="CCC3DC"/>
    </a:custClr>
    <a:custClr name="RGB = 123,189,214">
      <a:srgbClr val="7BBDD6"/>
    </a:custClr>
    <a:custClr name="RGB = 0,106,159">
      <a:srgbClr val="006A9F"/>
    </a:custClr>
    <a:custClr name="RGB = 159,209,139">
      <a:srgbClr val="9FD18B"/>
    </a:custClr>
    <a:custClr name="RGB = 66,141,82">
      <a:srgbClr val="428D52"/>
    </a:custClr>
    <a:custClr name="RGB = 29,29,29">
      <a:srgbClr val="1D1D1D"/>
    </a:custClr>
    <a:custClr name="RGB = 249,249,249">
      <a:srgbClr val="F9F9F9"/>
    </a:custClr>
    <a:custClr name="RGB = 230,226,238">
      <a:srgbClr val="E6E2EE"/>
    </a:custClr>
    <a:custClr name="RGB = 230,219,240">
      <a:srgbClr val="E6DBF0"/>
    </a:custClr>
    <a:custClr name="RGB = 228,222,237">
      <a:srgbClr val="E4DEED"/>
    </a:custClr>
    <a:custClr name="RGB = 228,223,236">
      <a:srgbClr val="E4DFEC"/>
    </a:custClr>
    <a:custClr name="RGB = 233,242,247">
      <a:srgbClr val="E9F2F7"/>
    </a:custClr>
    <a:custClr name="RGB = 204,238,255">
      <a:srgbClr val="CCEEFF"/>
    </a:custClr>
    <a:custClr name="RGB = 241,247,237">
      <a:srgbClr val="F1F7ED"/>
    </a:custClr>
    <a:custClr name="RGB = 220,239,224">
      <a:srgbClr val="DCEFE0"/>
    </a:custClr>
    <a:custClr name="RGB = 77,77,77">
      <a:srgbClr val="4D4D4D"/>
    </a:custClr>
    <a:custClr name="RGB = 229,229,229">
      <a:srgbClr val="E5E5E5"/>
    </a:custClr>
    <a:custClr name="RGB = 204,195,220">
      <a:srgbClr val="CCC3DC"/>
    </a:custClr>
    <a:custClr name="RGB = 204,183,225">
      <a:srgbClr val="CCB7E1"/>
    </a:custClr>
    <a:custClr name="RGB = 202,188,220">
      <a:srgbClr val="CABCDC"/>
    </a:custClr>
    <a:custClr name="RGB = 200,191,217">
      <a:srgbClr val="C8BFD9"/>
    </a:custClr>
    <a:custClr name="RGB = 196,221,233">
      <a:srgbClr val="C4DDE9"/>
    </a:custClr>
    <a:custClr name="RGB = 153,221,255">
      <a:srgbClr val="99DDFF"/>
    </a:custClr>
    <a:custClr name="RGB = 212,231,200">
      <a:srgbClr val="D4E7C8"/>
    </a:custClr>
    <a:custClr name="RGB = 186,222,193">
      <a:srgbClr val="BADEC1"/>
    </a:custClr>
    <a:custClr name="RGB = 99,99,99">
      <a:srgbClr val="636363"/>
    </a:custClr>
    <a:custClr name="RGB = 200,200,200">
      <a:srgbClr val="C8C8C8"/>
    </a:custClr>
    <a:custClr name="RGB = 157,133,190">
      <a:srgbClr val="9D85BE"/>
    </a:custClr>
    <a:custClr name="RGB = 178,147,210">
      <a:srgbClr val="B293D2"/>
    </a:custClr>
    <a:custClr name="RGB = 175,155,202">
      <a:srgbClr val="AF9BCA"/>
    </a:custClr>
    <a:custClr name="RGB = 173,158,199">
      <a:srgbClr val="AD9EC7"/>
    </a:custClr>
    <a:custClr name="RGB = 138,197,219">
      <a:srgbClr val="8AC5DB"/>
    </a:custClr>
    <a:custClr name="RGB = 102,204,255">
      <a:srgbClr val="66CCFF"/>
    </a:custClr>
    <a:custClr name="RGB = 134,197,109">
      <a:srgbClr val="86C56D"/>
    </a:custClr>
    <a:custClr name="RGB = 151,206,163">
      <a:srgbClr val="97CEA3"/>
    </a:custClr>
    <a:custClr name="RGB = 110,110,110">
      <a:srgbClr val="6E6E6E"/>
    </a:custClr>
    <a:custClr name="RGB = 125,125,125">
      <a:srgbClr val="7D7D7D"/>
    </a:custClr>
    <a:custClr name="RGB = 51,16,99">
      <a:srgbClr val="331063"/>
    </a:custClr>
    <a:custClr name="RGB = 34,11,65">
      <a:srgbClr val="220B41"/>
    </a:custClr>
    <a:custClr name="RGB = 148,122,184">
      <a:srgbClr val="947AB8"/>
    </a:custClr>
    <a:custClr name="RGB = 145,126,180">
      <a:srgbClr val="917EB4"/>
    </a:custClr>
    <a:custClr name="RGB = 0,72,110">
      <a:srgbClr val="00486E"/>
    </a:custClr>
    <a:custClr name="RGB = 0,32,50">
      <a:srgbClr val="002032"/>
    </a:custClr>
    <a:custClr name="RGB = 0,64,22">
      <a:srgbClr val="004016"/>
    </a:custClr>
    <a:custClr name="RGB = 116,190,132">
      <a:srgbClr val="74BE84"/>
    </a:custClr>
  </a:custClrLst>
  <a:extLst>
    <a:ext uri="{05A4C25C-085E-4340-85A3-A5531E510DB2}">
      <thm15:themeFamily xmlns:thm15="http://schemas.microsoft.com/office/thememl/2012/main" name="AAC Theme" id="{39DCDA45-834A-4271-971B-D88418EF0CAC}" vid="{6B1B7BD4-6D0E-46B1-9105-78C834965B7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B15B7BF881C54E9541960E20D8AB4C" ma:contentTypeVersion="23" ma:contentTypeDescription="Create a new document." ma:contentTypeScope="" ma:versionID="91e2a10225da6e2cd181e3e960a4c3db">
  <xsd:schema xmlns:xsd="http://www.w3.org/2001/XMLSchema" xmlns:xs="http://www.w3.org/2001/XMLSchema" xmlns:p="http://schemas.microsoft.com/office/2006/metadata/properties" xmlns:ns2="35fbcea8-365b-4043-ac26-3d78cbb7f6cc" targetNamespace="http://schemas.microsoft.com/office/2006/metadata/properties" ma:root="true" ma:fieldsID="b762198c4ee58815012247a430cb36de" ns2:_="">
    <xsd:import namespace="35fbcea8-365b-4043-ac26-3d78cbb7f6cc"/>
    <xsd:element name="properties">
      <xsd:complexType>
        <xsd:sequence>
          <xsd:element name="documentManagement">
            <xsd:complexType>
              <xsd:all>
                <xsd:element ref="ns2:Status" minOccurs="0"/>
                <xsd:element ref="ns2:Duedate" minOccurs="0"/>
                <xsd:element ref="ns2:MediaServiceMetadata" minOccurs="0"/>
                <xsd:element ref="ns2:MediaServiceFastMetadata" minOccurs="0"/>
                <xsd:element ref="ns2:MediaServiceSearchProperties" minOccurs="0"/>
                <xsd:element ref="ns2:MediaServiceObjectDetectorVersion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fbcea8-365b-4043-ac26-3d78cbb7f6cc" elementFormDefault="qualified">
    <xsd:import namespace="http://schemas.microsoft.com/office/2006/documentManagement/types"/>
    <xsd:import namespace="http://schemas.microsoft.com/office/infopath/2007/PartnerControls"/>
    <xsd:element name="Status" ma:index="8" nillable="true" ma:displayName="Status" ma:default="Not yet started" ma:format="Dropdown" ma:internalName="Status">
      <xsd:simpleType>
        <xsd:restriction base="dms:Choice">
          <xsd:enumeration value="Not yet started"/>
          <xsd:enumeration value="Initial editing"/>
          <xsd:enumeration value="Ready for initial QA"/>
          <xsd:enumeration value="Ready for technical committee/consultation"/>
          <xsd:enumeration value="Editing post technical committee/consultation"/>
          <xsd:enumeration value="Ready for pre-SRO QA check"/>
          <xsd:enumeration value="Ready for SRO"/>
          <xsd:enumeration value="Editing post SRO"/>
          <xsd:enumeration value="Ready for QA before submission"/>
          <xsd:enumeration value="Ready for submission"/>
          <xsd:enumeration value="Submitted"/>
        </xsd:restriction>
      </xsd:simpleType>
    </xsd:element>
    <xsd:element name="Duedate" ma:index="9" nillable="true" ma:displayName="Due date" ma:format="DateOnly" ma:internalName="Duedate">
      <xsd:simpleType>
        <xsd:restriction base="dms:DateTim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Notes" ma:index="14" nillable="true" ma:displayName="Notes" ma:format="Dropdown" ma:internalName="Note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dm:cachedDataManifest xmlns:cdm="http://schemas.microsoft.com/2004/VisualStudio/Tools/Applications/CachedDataManifest.xsd" cdm:revision="1"/>
</file>

<file path=customXml/item5.xml><?xml version="1.0" encoding="utf-8"?>
<p:properties xmlns:p="http://schemas.microsoft.com/office/2006/metadata/properties" xmlns:xsi="http://www.w3.org/2001/XMLSchema-instance" xmlns:pc="http://schemas.microsoft.com/office/infopath/2007/PartnerControls">
  <documentManagement>
    <Notes xmlns="35fbcea8-365b-4043-ac26-3d78cbb7f6cc" xsi:nil="true"/>
    <Duedate xmlns="35fbcea8-365b-4043-ac26-3d78cbb7f6cc" xsi:nil="true"/>
    <Status xmlns="35fbcea8-365b-4043-ac26-3d78cbb7f6cc">Ready for submission</Status>
  </documentManagement>
</p:properties>
</file>

<file path=customXml/itemProps1.xml><?xml version="1.0" encoding="utf-8"?>
<ds:datastoreItem xmlns:ds="http://schemas.openxmlformats.org/officeDocument/2006/customXml" ds:itemID="{0A94D60E-01E9-4375-882D-44E7387732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fbcea8-365b-4043-ac26-3d78cbb7f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D6133C-2394-44EF-816F-ED604A582F36}">
  <ds:schemaRefs>
    <ds:schemaRef ds:uri="http://schemas.openxmlformats.org/officeDocument/2006/bibliography"/>
  </ds:schemaRefs>
</ds:datastoreItem>
</file>

<file path=customXml/itemProps3.xml><?xml version="1.0" encoding="utf-8"?>
<ds:datastoreItem xmlns:ds="http://schemas.openxmlformats.org/officeDocument/2006/customXml" ds:itemID="{F9AF1F6D-ADD7-47E4-91C1-50C716F30709}">
  <ds:schemaRefs>
    <ds:schemaRef ds:uri="http://schemas.microsoft.com/sharepoint/v3/contenttype/forms"/>
  </ds:schemaRefs>
</ds:datastoreItem>
</file>

<file path=customXml/itemProps4.xml><?xml version="1.0" encoding="utf-8"?>
<ds:datastoreItem xmlns:ds="http://schemas.openxmlformats.org/officeDocument/2006/customXml" ds:itemID="{BE09BE19-591D-4AF4-8E77-0FBF065344A2}">
  <ds:schemaRefs>
    <ds:schemaRef ds:uri="http://schemas.microsoft.com/2004/VisualStudio/Tools/Applications/CachedDataManifest.xsd"/>
  </ds:schemaRefs>
</ds:datastoreItem>
</file>

<file path=customXml/itemProps5.xml><?xml version="1.0" encoding="utf-8"?>
<ds:datastoreItem xmlns:ds="http://schemas.openxmlformats.org/officeDocument/2006/customXml" ds:itemID="{EA70654B-01FD-4613-BB08-3F85C2958EDA}">
  <ds:schemaRefs>
    <ds:schemaRef ds:uri="http://schemas.microsoft.com/office/2006/metadata/properties"/>
    <ds:schemaRef ds:uri="http://schemas.microsoft.com/office/infopath/2007/PartnerControls"/>
    <ds:schemaRef ds:uri="b26f57d1-4630-42df-8427-432b60369280"/>
    <ds:schemaRef ds:uri="35fbcea8-365b-4043-ac26-3d78cbb7f6cc"/>
  </ds:schemaRefs>
</ds:datastoreItem>
</file>

<file path=docProps/app.xml><?xml version="1.0" encoding="utf-8"?>
<Properties xmlns="http://schemas.openxmlformats.org/officeDocument/2006/extended-properties" xmlns:vt="http://schemas.openxmlformats.org/officeDocument/2006/docPropsVTypes">
  <Template>C:\Templates\AA GeneralReport.dotx</Template>
  <TotalTime>0</TotalTime>
  <Pages>27</Pages>
  <Words>8171</Words>
  <Characters>46578</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Report</vt:lpstr>
    </vt:vector>
  </TitlesOfParts>
  <Company>Acil Allen</Company>
  <LinksUpToDate>false</LinksUpToDate>
  <CharactersWithSpaces>54640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Good Practice Guide</dc:title>
  <dc:subject/>
  <dc:creator>Amy Mehrton</dc:creator>
  <cp:keywords/>
  <dc:description>© ACIL Allen 2025</dc:description>
  <cp:lastModifiedBy>Kate De Clercq</cp:lastModifiedBy>
  <cp:revision>2</cp:revision>
  <cp:lastPrinted>2024-12-01T21:58:00Z</cp:lastPrinted>
  <dcterms:created xsi:type="dcterms:W3CDTF">2025-06-12T01:56:00Z</dcterms:created>
  <dcterms:modified xsi:type="dcterms:W3CDTF">2025-06-12T01:56:00Z</dcterms:modified>
  <cp:category>12.12.44</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ssemblyLocation">
    <vt:lpwstr>http://templates.acilallen.com.au/word/GeneralReport/install/AA GeneralReport.vsto|38218949-3a6a-4064-898e-34119e91a4dc</vt:lpwstr>
  </property>
  <property fmtid="{D5CDD505-2E9C-101B-9397-08002B2CF9AE}" pid="3" name="_AssemblyName">
    <vt:lpwstr>4E3C66D5-58D4-491E-A7D4-64AF99AF6E8B</vt:lpwstr>
  </property>
  <property fmtid="{D5CDD505-2E9C-101B-9397-08002B2CF9AE}" pid="4" name="reportMode">
    <vt:lpwstr>longReport</vt:lpwstr>
  </property>
  <property fmtid="{D5CDD505-2E9C-101B-9397-08002B2CF9AE}" pid="5" name="pgNumberFormat">
    <vt:lpwstr>std</vt:lpwstr>
  </property>
  <property fmtid="{D5CDD505-2E9C-101B-9397-08002B2CF9AE}" pid="6" name="rptAccessible">
    <vt:lpwstr>false</vt:lpwstr>
  </property>
  <property fmtid="{D5CDD505-2E9C-101B-9397-08002B2CF9AE}" pid="7" name="ContentTypeId">
    <vt:lpwstr>0x0101002EB15B7BF881C54E9541960E20D8AB4C</vt:lpwstr>
  </property>
</Properties>
</file>